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hanging="0"/>
        <w:jc w:val="left"/>
        <w:textAlignment w:val="baseline"/>
        <w:rPr/>
      </w:pPr>
      <w:r>
        <w:rPr>
          <w:rFonts w:eastAsia="Times New Roman" w:cs="Calibri" w:cstheme="minorHAnsi"/>
          <w:b/>
          <w:bCs/>
          <w:color w:val="000000" w:themeColor="text1"/>
          <w:sz w:val="22"/>
          <w:szCs w:val="22"/>
          <w:lang w:eastAsia="en-GB"/>
        </w:rPr>
        <w:t>Measuring Body Composition</w:t>
      </w:r>
    </w:p>
    <w:p>
      <w:pPr>
        <w:pStyle w:val="ListParagraph"/>
        <w:bidi w:val="0"/>
        <w:ind w:hanging="0"/>
        <w:jc w:val="left"/>
        <w:textAlignment w:val="baseline"/>
        <w:rPr>
          <w:rFonts w:eastAsia="Times New Roman" w:cs="Calibri" w:cstheme="minorHAnsi"/>
          <w:color w:val="000000" w:themeColor="text1"/>
          <w:sz w:val="22"/>
          <w:szCs w:val="22"/>
          <w:lang w:eastAsia="en-GB"/>
        </w:rPr>
      </w:pPr>
      <w:r>
        <w:rPr>
          <w:rFonts w:eastAsia="Times New Roman" w:cs="Calibri" w:cstheme="minorHAnsi"/>
          <w:color w:val="000000" w:themeColor="text1"/>
          <w:sz w:val="22"/>
          <w:szCs w:val="22"/>
          <w:lang w:eastAsia="en-GB"/>
        </w:rPr>
        <w:t>Document prepared by: Tom Stubbs</w:t>
      </w:r>
    </w:p>
    <w:p>
      <w:pPr>
        <w:pStyle w:val="ListParagraph"/>
        <w:bidi w:val="0"/>
        <w:ind w:hanging="0"/>
        <w:jc w:val="left"/>
        <w:textAlignment w:val="baseline"/>
        <w:rPr>
          <w:rFonts w:eastAsia="Times New Roman" w:cs="Calibri" w:cstheme="minorHAnsi"/>
          <w:color w:val="000000" w:themeColor="text1"/>
          <w:sz w:val="22"/>
          <w:szCs w:val="22"/>
          <w:lang w:eastAsia="en-GB"/>
        </w:rPr>
      </w:pPr>
      <w:r>
        <w:rPr>
          <w:rFonts w:eastAsia="Times New Roman" w:cs="Calibri" w:cstheme="minorHAnsi"/>
          <w:color w:val="000000" w:themeColor="text1"/>
          <w:sz w:val="22"/>
          <w:szCs w:val="22"/>
          <w:lang w:eastAsia="en-GB"/>
        </w:rPr>
      </w:r>
    </w:p>
    <w:p>
      <w:pPr>
        <w:pStyle w:val="Normal"/>
        <w:bidi w:val="0"/>
        <w:ind w:hanging="0"/>
        <w:jc w:val="left"/>
        <w:textAlignment w:val="baseline"/>
        <w:rPr/>
      </w:pPr>
      <w:r>
        <w:rPr>
          <w:rFonts w:eastAsia="Times New Roman" w:cs="Calibri" w:cstheme="minorHAnsi"/>
          <w:color w:val="000000" w:themeColor="text1"/>
          <w:sz w:val="22"/>
          <w:szCs w:val="22"/>
          <w:lang w:eastAsia="en-GB"/>
        </w:rPr>
        <w:t>There are various methods for measuring body composition in humans, each providing their own strengths and weaknesses. A single technique is therefore unlikely to suit every situation and it is preferable to refer to multiple measures to get the most accurate results. Common measures of body composition have been outlined in the table below.</w:t>
      </w:r>
    </w:p>
    <w:p>
      <w:pPr>
        <w:pStyle w:val="Normal"/>
        <w:bidi w:val="0"/>
        <w:ind w:hanging="0"/>
        <w:jc w:val="left"/>
        <w:textAlignment w:val="baseline"/>
        <w:rPr>
          <w:rFonts w:eastAsia="Times New Roman" w:cs="Calibri" w:cstheme="minorHAnsi"/>
          <w:color w:val="000000" w:themeColor="text1"/>
          <w:sz w:val="22"/>
          <w:szCs w:val="22"/>
          <w:lang w:eastAsia="en-GB"/>
        </w:rPr>
      </w:pPr>
      <w:r>
        <w:rPr>
          <w:rFonts w:eastAsia="Times New Roman" w:cs="Calibri" w:cstheme="minorHAnsi"/>
          <w:color w:val="000000" w:themeColor="text1"/>
          <w:sz w:val="22"/>
          <w:szCs w:val="22"/>
          <w:lang w:eastAsia="en-GB"/>
        </w:rPr>
      </w:r>
    </w:p>
    <w:tbl>
      <w:tblPr>
        <w:tblStyle w:val="TableGrid"/>
        <w:tblW w:w="9010" w:type="dxa"/>
        <w:jc w:val="left"/>
        <w:tblInd w:w="0" w:type="dxa"/>
        <w:tblCellMar>
          <w:top w:w="0" w:type="dxa"/>
          <w:left w:w="108" w:type="dxa"/>
          <w:bottom w:w="0" w:type="dxa"/>
          <w:right w:w="108" w:type="dxa"/>
        </w:tblCellMar>
        <w:tblLook w:firstRow="1" w:noVBand="1" w:lastRow="0" w:firstColumn="1" w:lastColumn="0" w:noHBand="0" w:val="04a0"/>
      </w:tblPr>
      <w:tblGrid>
        <w:gridCol w:w="1838"/>
        <w:gridCol w:w="3543"/>
        <w:gridCol w:w="3629"/>
      </w:tblGrid>
      <w:tr>
        <w:trPr/>
        <w:tc>
          <w:tcPr>
            <w:tcW w:w="1838" w:type="dxa"/>
            <w:tcBorders>
              <w:top w:val="single" w:sz="6" w:space="0" w:color="000000"/>
              <w:left w:val="single" w:sz="6" w:space="0" w:color="000000"/>
              <w:bottom w:val="single" w:sz="6" w:space="0" w:color="000000"/>
              <w:right w:val="nil"/>
            </w:tcBorders>
            <w:shd w:fill="auto" w:val="clear"/>
          </w:tcPr>
          <w:p>
            <w:pPr>
              <w:pStyle w:val="Normal"/>
              <w:bidi w:val="0"/>
              <w:ind w:hanging="0"/>
              <w:jc w:val="left"/>
              <w:textAlignment w:val="baseline"/>
              <w:rPr/>
            </w:pPr>
            <w:r>
              <w:rPr>
                <w:rFonts w:eastAsia="Times New Roman" w:cs="Calibri" w:cstheme="minorHAnsi"/>
                <w:b/>
                <w:bCs/>
                <w:color w:val="000000" w:themeColor="text1"/>
                <w:sz w:val="22"/>
                <w:szCs w:val="22"/>
                <w:lang w:eastAsia="en-GB"/>
              </w:rPr>
              <w:t>Method</w:t>
            </w:r>
          </w:p>
        </w:tc>
        <w:tc>
          <w:tcPr>
            <w:tcW w:w="3543" w:type="dxa"/>
            <w:tcBorders>
              <w:top w:val="single" w:sz="6" w:space="0" w:color="000000"/>
              <w:left w:val="single" w:sz="6" w:space="0" w:color="000000"/>
              <w:bottom w:val="single" w:sz="6" w:space="0" w:color="000000"/>
              <w:right w:val="nil"/>
            </w:tcBorders>
            <w:shd w:fill="auto" w:val="clear"/>
          </w:tcPr>
          <w:p>
            <w:pPr>
              <w:pStyle w:val="Normal"/>
              <w:bidi w:val="0"/>
              <w:ind w:hanging="0"/>
              <w:jc w:val="left"/>
              <w:textAlignment w:val="baseline"/>
              <w:rPr/>
            </w:pPr>
            <w:r>
              <w:rPr>
                <w:rFonts w:eastAsia="Times New Roman" w:cs="Calibri" w:cstheme="minorHAnsi"/>
                <w:b/>
                <w:bCs/>
                <w:color w:val="000000" w:themeColor="text1"/>
                <w:sz w:val="22"/>
                <w:szCs w:val="22"/>
                <w:lang w:eastAsia="en-GB"/>
              </w:rPr>
              <w:t>Pros</w:t>
            </w:r>
          </w:p>
        </w:tc>
        <w:tc>
          <w:tcPr>
            <w:tcW w:w="3629" w:type="dxa"/>
            <w:tcBorders>
              <w:top w:val="single" w:sz="6" w:space="0" w:color="000000"/>
              <w:left w:val="single" w:sz="6" w:space="0" w:color="000000"/>
              <w:bottom w:val="single" w:sz="6" w:space="0" w:color="000000"/>
              <w:right w:val="single" w:sz="6" w:space="0" w:color="000000"/>
            </w:tcBorders>
            <w:shd w:fill="auto" w:val="clear"/>
          </w:tcPr>
          <w:p>
            <w:pPr>
              <w:pStyle w:val="Normal"/>
              <w:bidi w:val="0"/>
              <w:ind w:hanging="0"/>
              <w:jc w:val="left"/>
              <w:textAlignment w:val="baseline"/>
              <w:rPr/>
            </w:pPr>
            <w:r>
              <w:rPr>
                <w:rFonts w:eastAsia="Times New Roman" w:cs="Calibri" w:cstheme="minorHAnsi"/>
                <w:b/>
                <w:bCs/>
                <w:color w:val="000000" w:themeColor="text1"/>
                <w:sz w:val="22"/>
                <w:szCs w:val="22"/>
                <w:lang w:eastAsia="en-GB"/>
              </w:rPr>
              <w:t>Cons</w:t>
            </w:r>
          </w:p>
        </w:tc>
      </w:tr>
      <w:tr>
        <w:trPr/>
        <w:tc>
          <w:tcPr>
            <w:tcW w:w="1838" w:type="dxa"/>
            <w:tcBorders>
              <w:top w:val="nil"/>
              <w:left w:val="single" w:sz="6" w:space="0" w:color="000000"/>
              <w:bottom w:val="single" w:sz="6" w:space="0" w:color="000000"/>
              <w:right w:val="nil"/>
            </w:tcBorders>
            <w:shd w:fill="auto" w:val="clear"/>
          </w:tcPr>
          <w:p>
            <w:pPr>
              <w:pStyle w:val="Normal"/>
              <w:bidi w:val="0"/>
              <w:ind w:hanging="0"/>
              <w:jc w:val="left"/>
              <w:textAlignment w:val="baseline"/>
              <w:rPr/>
            </w:pPr>
            <w:r>
              <w:rPr>
                <w:rFonts w:eastAsia="Times New Roman" w:cs="Calibri" w:cstheme="minorHAnsi"/>
                <w:color w:val="000000" w:themeColor="text1"/>
                <w:sz w:val="22"/>
                <w:szCs w:val="22"/>
                <w:lang w:eastAsia="en-GB"/>
              </w:rPr>
              <w:t>Cadaver Analysis</w:t>
            </w:r>
          </w:p>
        </w:tc>
        <w:tc>
          <w:tcPr>
            <w:tcW w:w="3543" w:type="dxa"/>
            <w:tcBorders>
              <w:top w:val="nil"/>
              <w:left w:val="single" w:sz="6" w:space="0" w:color="000000"/>
              <w:bottom w:val="single" w:sz="6" w:space="0" w:color="000000"/>
              <w:right w:val="nil"/>
            </w:tcBorders>
            <w:shd w:fill="auto" w:val="clear"/>
          </w:tcPr>
          <w:p>
            <w:pPr>
              <w:pStyle w:val="Normal"/>
              <w:bidi w:val="0"/>
              <w:ind w:hanging="0"/>
              <w:jc w:val="left"/>
              <w:textAlignment w:val="baseline"/>
              <w:rPr/>
            </w:pPr>
            <w:r>
              <w:rPr>
                <w:rFonts w:eastAsia="Times New Roman" w:cs="Calibri" w:cstheme="minorHAnsi"/>
                <w:color w:val="000000" w:themeColor="text1"/>
                <w:sz w:val="22"/>
                <w:szCs w:val="22"/>
                <w:lang w:eastAsia="en-GB"/>
              </w:rPr>
              <w:t>The most accurate method to measure fat and fat-free mass</w:t>
            </w:r>
          </w:p>
        </w:tc>
        <w:tc>
          <w:tcPr>
            <w:tcW w:w="3629" w:type="dxa"/>
            <w:tcBorders>
              <w:top w:val="nil"/>
              <w:left w:val="single" w:sz="6" w:space="0" w:color="000000"/>
              <w:bottom w:val="single" w:sz="6" w:space="0" w:color="000000"/>
              <w:right w:val="single" w:sz="6" w:space="0" w:color="000000"/>
            </w:tcBorders>
            <w:shd w:fill="auto" w:val="clear"/>
          </w:tcPr>
          <w:p>
            <w:pPr>
              <w:pStyle w:val="Normal"/>
              <w:bidi w:val="0"/>
              <w:ind w:hanging="0"/>
              <w:jc w:val="left"/>
              <w:textAlignment w:val="baseline"/>
              <w:rPr/>
            </w:pPr>
            <w:r>
              <w:rPr>
                <w:rFonts w:eastAsia="Times New Roman" w:cs="Calibri" w:cstheme="minorHAnsi"/>
                <w:color w:val="000000" w:themeColor="text1"/>
                <w:sz w:val="22"/>
                <w:szCs w:val="22"/>
                <w:lang w:eastAsia="en-GB"/>
              </w:rPr>
              <w:t>Can only be applied to deceased individuals</w:t>
            </w:r>
          </w:p>
        </w:tc>
      </w:tr>
      <w:tr>
        <w:trPr/>
        <w:tc>
          <w:tcPr>
            <w:tcW w:w="1838" w:type="dxa"/>
            <w:tcBorders>
              <w:top w:val="nil"/>
              <w:left w:val="single" w:sz="6" w:space="0" w:color="000000"/>
              <w:bottom w:val="single" w:sz="6" w:space="0" w:color="000000"/>
              <w:right w:val="nil"/>
            </w:tcBorders>
            <w:shd w:fill="auto" w:val="clear"/>
          </w:tcPr>
          <w:p>
            <w:pPr>
              <w:pStyle w:val="Normal"/>
              <w:bidi w:val="0"/>
              <w:ind w:hanging="0"/>
              <w:jc w:val="left"/>
              <w:textAlignment w:val="baseline"/>
              <w:rPr/>
            </w:pPr>
            <w:r>
              <w:rPr>
                <w:rFonts w:eastAsia="Times New Roman" w:cs="Calibri" w:cstheme="minorHAnsi"/>
                <w:color w:val="000000" w:themeColor="text1"/>
                <w:sz w:val="22"/>
                <w:szCs w:val="22"/>
                <w:lang w:eastAsia="en-GB"/>
              </w:rPr>
              <w:t>Body Mass Index (BMI)</w:t>
            </w:r>
          </w:p>
        </w:tc>
        <w:tc>
          <w:tcPr>
            <w:tcW w:w="3543" w:type="dxa"/>
            <w:tcBorders>
              <w:top w:val="nil"/>
              <w:left w:val="single" w:sz="6" w:space="0" w:color="000000"/>
              <w:bottom w:val="single" w:sz="6" w:space="0" w:color="000000"/>
              <w:right w:val="nil"/>
            </w:tcBorders>
            <w:shd w:fill="auto" w:val="clear"/>
          </w:tcPr>
          <w:p>
            <w:pPr>
              <w:pStyle w:val="Normal"/>
              <w:bidi w:val="0"/>
              <w:ind w:hanging="0"/>
              <w:jc w:val="left"/>
              <w:textAlignment w:val="baseline"/>
              <w:rPr/>
            </w:pPr>
            <w:r>
              <w:rPr>
                <w:rFonts w:eastAsia="Times New Roman" w:cs="Calibri" w:cstheme="minorHAnsi"/>
                <w:color w:val="000000" w:themeColor="text1"/>
                <w:sz w:val="22"/>
                <w:szCs w:val="22"/>
                <w:lang w:eastAsia="en-GB"/>
              </w:rPr>
              <w:t>Simple, inexpensive application</w:t>
            </w:r>
          </w:p>
          <w:p>
            <w:pPr>
              <w:pStyle w:val="Normal"/>
              <w:bidi w:val="0"/>
              <w:ind w:hanging="0"/>
              <w:jc w:val="left"/>
              <w:textAlignment w:val="baseline"/>
              <w:rPr>
                <w:rFonts w:eastAsia="Times New Roman" w:cs="Calibri" w:cstheme="minorHAnsi"/>
                <w:color w:val="000000" w:themeColor="text1"/>
                <w:sz w:val="22"/>
                <w:szCs w:val="22"/>
                <w:lang w:eastAsia="en-GB"/>
              </w:rPr>
            </w:pPr>
            <w:r>
              <w:rPr>
                <w:rFonts w:eastAsia="Times New Roman" w:cs="Calibri" w:cstheme="minorHAnsi"/>
                <w:color w:val="000000" w:themeColor="text1"/>
                <w:sz w:val="22"/>
                <w:szCs w:val="22"/>
                <w:lang w:eastAsia="en-GB"/>
              </w:rPr>
            </w:r>
          </w:p>
          <w:p>
            <w:pPr>
              <w:pStyle w:val="Normal"/>
              <w:bidi w:val="0"/>
              <w:ind w:hanging="0"/>
              <w:jc w:val="left"/>
              <w:textAlignment w:val="baseline"/>
              <w:rPr/>
            </w:pPr>
            <w:r>
              <w:rPr>
                <w:rFonts w:eastAsia="Times New Roman" w:cs="Calibri" w:cstheme="minorHAnsi"/>
                <w:color w:val="000000" w:themeColor="text1"/>
                <w:sz w:val="22"/>
                <w:szCs w:val="22"/>
                <w:lang w:eastAsia="en-GB"/>
              </w:rPr>
              <w:t>Strongly correlated with body fatness, morbidity, and mortality in adults</w:t>
            </w:r>
          </w:p>
          <w:p>
            <w:pPr>
              <w:pStyle w:val="Normal"/>
              <w:bidi w:val="0"/>
              <w:ind w:hanging="0"/>
              <w:jc w:val="left"/>
              <w:textAlignment w:val="baseline"/>
              <w:rPr>
                <w:rFonts w:eastAsia="Times New Roman" w:cs="Calibri" w:cstheme="minorHAnsi"/>
                <w:color w:val="000000" w:themeColor="text1"/>
                <w:sz w:val="22"/>
                <w:szCs w:val="22"/>
                <w:lang w:eastAsia="en-GB"/>
              </w:rPr>
            </w:pPr>
            <w:r>
              <w:rPr>
                <w:rFonts w:eastAsia="Times New Roman" w:cs="Calibri" w:cstheme="minorHAnsi"/>
                <w:color w:val="000000" w:themeColor="text1"/>
                <w:sz w:val="22"/>
                <w:szCs w:val="22"/>
                <w:lang w:eastAsia="en-GB"/>
              </w:rPr>
            </w:r>
          </w:p>
          <w:p>
            <w:pPr>
              <w:pStyle w:val="Normal"/>
              <w:bidi w:val="0"/>
              <w:ind w:hanging="0"/>
              <w:jc w:val="left"/>
              <w:textAlignment w:val="baseline"/>
              <w:rPr/>
            </w:pPr>
            <w:r>
              <w:rPr>
                <w:rFonts w:eastAsia="Times New Roman" w:cs="Calibri" w:cstheme="minorHAnsi"/>
                <w:color w:val="000000" w:themeColor="text1"/>
                <w:sz w:val="22"/>
                <w:szCs w:val="22"/>
                <w:lang w:eastAsia="en-GB"/>
              </w:rPr>
              <w:t>Universally applicable with extensive reference data to compare against</w:t>
            </w:r>
          </w:p>
        </w:tc>
        <w:tc>
          <w:tcPr>
            <w:tcW w:w="3629" w:type="dxa"/>
            <w:tcBorders>
              <w:top w:val="nil"/>
              <w:left w:val="single" w:sz="6" w:space="0" w:color="000000"/>
              <w:bottom w:val="single" w:sz="6" w:space="0" w:color="000000"/>
              <w:right w:val="single" w:sz="6" w:space="0" w:color="000000"/>
            </w:tcBorders>
            <w:shd w:fill="auto" w:val="clear"/>
          </w:tcPr>
          <w:p>
            <w:pPr>
              <w:pStyle w:val="Normal"/>
              <w:bidi w:val="0"/>
              <w:ind w:hanging="0"/>
              <w:jc w:val="left"/>
              <w:textAlignment w:val="baseline"/>
              <w:rPr/>
            </w:pPr>
            <w:r>
              <w:rPr>
                <w:rFonts w:eastAsia="Times New Roman" w:cs="Calibri" w:cstheme="minorHAnsi"/>
                <w:color w:val="000000" w:themeColor="text1"/>
                <w:sz w:val="22"/>
                <w:szCs w:val="22"/>
                <w:lang w:eastAsia="en-GB"/>
              </w:rPr>
              <w:t>Fails to differentiate between fat and fat-free mass</w:t>
            </w:r>
          </w:p>
          <w:p>
            <w:pPr>
              <w:pStyle w:val="Normal"/>
              <w:bidi w:val="0"/>
              <w:ind w:hanging="0"/>
              <w:jc w:val="left"/>
              <w:textAlignment w:val="baseline"/>
              <w:rPr>
                <w:rFonts w:eastAsia="Times New Roman" w:cs="Calibri" w:cstheme="minorHAnsi"/>
                <w:color w:val="000000" w:themeColor="text1"/>
                <w:sz w:val="22"/>
                <w:szCs w:val="22"/>
                <w:lang w:eastAsia="en-GB"/>
              </w:rPr>
            </w:pPr>
            <w:r>
              <w:rPr>
                <w:rFonts w:eastAsia="Times New Roman" w:cs="Calibri" w:cstheme="minorHAnsi"/>
                <w:color w:val="000000" w:themeColor="text1"/>
                <w:sz w:val="22"/>
                <w:szCs w:val="22"/>
                <w:lang w:eastAsia="en-GB"/>
              </w:rPr>
            </w:r>
          </w:p>
          <w:p>
            <w:pPr>
              <w:pStyle w:val="Normal"/>
              <w:bidi w:val="0"/>
              <w:ind w:hanging="0"/>
              <w:jc w:val="left"/>
              <w:textAlignment w:val="baseline"/>
              <w:rPr/>
            </w:pPr>
            <w:r>
              <w:rPr>
                <w:rFonts w:eastAsia="Times New Roman" w:cs="Calibri" w:cstheme="minorHAnsi"/>
                <w:color w:val="000000" w:themeColor="text1"/>
                <w:sz w:val="22"/>
                <w:szCs w:val="22"/>
                <w:lang w:eastAsia="en-GB"/>
              </w:rPr>
              <w:t>Less accurate measure for children and the elderly</w:t>
            </w:r>
          </w:p>
        </w:tc>
      </w:tr>
      <w:tr>
        <w:trPr/>
        <w:tc>
          <w:tcPr>
            <w:tcW w:w="1838" w:type="dxa"/>
            <w:tcBorders>
              <w:top w:val="nil"/>
              <w:left w:val="single" w:sz="6" w:space="0" w:color="000000"/>
              <w:bottom w:val="single" w:sz="6" w:space="0" w:color="000000"/>
              <w:right w:val="nil"/>
            </w:tcBorders>
            <w:shd w:fill="auto" w:val="clear"/>
          </w:tcPr>
          <w:p>
            <w:pPr>
              <w:pStyle w:val="Normal"/>
              <w:bidi w:val="0"/>
              <w:ind w:hanging="0"/>
              <w:jc w:val="left"/>
              <w:textAlignment w:val="baseline"/>
              <w:rPr/>
            </w:pPr>
            <w:r>
              <w:rPr>
                <w:rFonts w:eastAsia="Times New Roman" w:cs="Calibri" w:cstheme="minorHAnsi"/>
                <w:color w:val="000000" w:themeColor="text1"/>
                <w:sz w:val="22"/>
                <w:szCs w:val="22"/>
                <w:lang w:eastAsia="en-GB"/>
              </w:rPr>
              <w:t>Basic Anthropometry (height or weight)</w:t>
            </w:r>
          </w:p>
        </w:tc>
        <w:tc>
          <w:tcPr>
            <w:tcW w:w="3543" w:type="dxa"/>
            <w:tcBorders>
              <w:top w:val="nil"/>
              <w:left w:val="single" w:sz="6" w:space="0" w:color="000000"/>
              <w:bottom w:val="single" w:sz="6" w:space="0" w:color="000000"/>
              <w:right w:val="nil"/>
            </w:tcBorders>
            <w:shd w:fill="auto" w:val="clear"/>
          </w:tcPr>
          <w:p>
            <w:pPr>
              <w:pStyle w:val="Normal"/>
              <w:bidi w:val="0"/>
              <w:ind w:hanging="0"/>
              <w:jc w:val="left"/>
              <w:textAlignment w:val="baseline"/>
              <w:rPr/>
            </w:pPr>
            <w:r>
              <w:rPr>
                <w:rFonts w:eastAsia="Times New Roman" w:cs="Calibri" w:cstheme="minorHAnsi"/>
                <w:color w:val="000000" w:themeColor="text1"/>
                <w:sz w:val="22"/>
                <w:szCs w:val="22"/>
                <w:lang w:eastAsia="en-GB"/>
              </w:rPr>
              <w:t>Easiest measures to take</w:t>
            </w:r>
          </w:p>
          <w:p>
            <w:pPr>
              <w:pStyle w:val="Normal"/>
              <w:bidi w:val="0"/>
              <w:ind w:hanging="0"/>
              <w:jc w:val="left"/>
              <w:textAlignment w:val="baseline"/>
              <w:rPr>
                <w:rFonts w:eastAsia="Times New Roman" w:cs="Calibri" w:cstheme="minorHAnsi"/>
                <w:color w:val="000000" w:themeColor="text1"/>
                <w:sz w:val="22"/>
                <w:szCs w:val="22"/>
                <w:lang w:eastAsia="en-GB"/>
              </w:rPr>
            </w:pPr>
            <w:r>
              <w:rPr>
                <w:rFonts w:eastAsia="Times New Roman" w:cs="Calibri" w:cstheme="minorHAnsi"/>
                <w:color w:val="000000" w:themeColor="text1"/>
                <w:sz w:val="22"/>
                <w:szCs w:val="22"/>
                <w:lang w:eastAsia="en-GB"/>
              </w:rPr>
            </w:r>
          </w:p>
          <w:p>
            <w:pPr>
              <w:pStyle w:val="Normal"/>
              <w:bidi w:val="0"/>
              <w:ind w:hanging="0"/>
              <w:jc w:val="left"/>
              <w:textAlignment w:val="baseline"/>
              <w:rPr/>
            </w:pPr>
            <w:r>
              <w:rPr>
                <w:rFonts w:eastAsia="Times New Roman" w:cs="Calibri" w:cstheme="minorHAnsi"/>
                <w:color w:val="000000" w:themeColor="text1"/>
                <w:sz w:val="22"/>
                <w:szCs w:val="22"/>
                <w:lang w:eastAsia="en-GB"/>
              </w:rPr>
              <w:t>Indicates changes over time (useful in children to chart growth)</w:t>
            </w:r>
          </w:p>
        </w:tc>
        <w:tc>
          <w:tcPr>
            <w:tcW w:w="3629" w:type="dxa"/>
            <w:tcBorders>
              <w:top w:val="nil"/>
              <w:left w:val="single" w:sz="6" w:space="0" w:color="000000"/>
              <w:bottom w:val="single" w:sz="6" w:space="0" w:color="000000"/>
              <w:right w:val="single" w:sz="6" w:space="0" w:color="000000"/>
            </w:tcBorders>
            <w:shd w:fill="auto" w:val="clear"/>
          </w:tcPr>
          <w:p>
            <w:pPr>
              <w:pStyle w:val="Normal"/>
              <w:bidi w:val="0"/>
              <w:ind w:hanging="0"/>
              <w:jc w:val="left"/>
              <w:textAlignment w:val="baseline"/>
              <w:rPr/>
            </w:pPr>
            <w:r>
              <w:rPr>
                <w:rFonts w:eastAsia="Times New Roman" w:cs="Calibri" w:cstheme="minorHAnsi"/>
                <w:color w:val="000000" w:themeColor="text1"/>
                <w:sz w:val="22"/>
                <w:szCs w:val="22"/>
                <w:lang w:eastAsia="en-GB"/>
              </w:rPr>
              <w:t>Fails to differentiate between fat and fat-free mass</w:t>
            </w:r>
          </w:p>
          <w:p>
            <w:pPr>
              <w:pStyle w:val="Normal"/>
              <w:bidi w:val="0"/>
              <w:ind w:hanging="0"/>
              <w:jc w:val="left"/>
              <w:textAlignment w:val="baseline"/>
              <w:rPr>
                <w:rFonts w:eastAsia="Times New Roman" w:cs="Calibri" w:cstheme="minorHAnsi"/>
                <w:color w:val="000000" w:themeColor="text1"/>
                <w:sz w:val="22"/>
                <w:szCs w:val="22"/>
                <w:lang w:eastAsia="en-GB"/>
              </w:rPr>
            </w:pPr>
            <w:r>
              <w:rPr>
                <w:rFonts w:eastAsia="Times New Roman" w:cs="Calibri" w:cstheme="minorHAnsi"/>
                <w:color w:val="000000" w:themeColor="text1"/>
                <w:sz w:val="22"/>
                <w:szCs w:val="22"/>
                <w:lang w:eastAsia="en-GB"/>
              </w:rPr>
            </w:r>
          </w:p>
          <w:p>
            <w:pPr>
              <w:pStyle w:val="Normal"/>
              <w:bidi w:val="0"/>
              <w:ind w:hanging="0"/>
              <w:jc w:val="left"/>
              <w:textAlignment w:val="baseline"/>
              <w:rPr/>
            </w:pPr>
            <w:r>
              <w:rPr>
                <w:rFonts w:eastAsia="Times New Roman" w:cs="Calibri" w:cstheme="minorHAnsi"/>
                <w:color w:val="000000" w:themeColor="text1"/>
                <w:sz w:val="22"/>
                <w:szCs w:val="22"/>
                <w:lang w:eastAsia="en-GB"/>
              </w:rPr>
              <w:t>Inaccurate measures of body adiposity</w:t>
            </w:r>
          </w:p>
        </w:tc>
      </w:tr>
      <w:tr>
        <w:trPr/>
        <w:tc>
          <w:tcPr>
            <w:tcW w:w="1838" w:type="dxa"/>
            <w:tcBorders>
              <w:top w:val="nil"/>
              <w:left w:val="single" w:sz="6" w:space="0" w:color="000000"/>
              <w:bottom w:val="single" w:sz="6" w:space="0" w:color="000000"/>
              <w:right w:val="nil"/>
            </w:tcBorders>
            <w:shd w:fill="auto" w:val="clear"/>
          </w:tcPr>
          <w:p>
            <w:pPr>
              <w:pStyle w:val="Normal"/>
              <w:bidi w:val="0"/>
              <w:ind w:hanging="0"/>
              <w:jc w:val="left"/>
              <w:textAlignment w:val="baseline"/>
              <w:rPr/>
            </w:pPr>
            <w:r>
              <w:rPr>
                <w:rFonts w:eastAsia="Times New Roman" w:cs="Calibri" w:cstheme="minorHAnsi"/>
                <w:color w:val="000000" w:themeColor="text1"/>
                <w:sz w:val="22"/>
                <w:szCs w:val="22"/>
                <w:lang w:eastAsia="en-GB"/>
              </w:rPr>
              <w:t>Abdominal Circumference</w:t>
            </w:r>
          </w:p>
        </w:tc>
        <w:tc>
          <w:tcPr>
            <w:tcW w:w="3543" w:type="dxa"/>
            <w:tcBorders>
              <w:top w:val="nil"/>
              <w:left w:val="single" w:sz="6" w:space="0" w:color="000000"/>
              <w:bottom w:val="single" w:sz="6" w:space="0" w:color="000000"/>
              <w:right w:val="nil"/>
            </w:tcBorders>
            <w:shd w:fill="auto" w:val="clear"/>
          </w:tcPr>
          <w:p>
            <w:pPr>
              <w:pStyle w:val="Normal"/>
              <w:bidi w:val="0"/>
              <w:ind w:hanging="0"/>
              <w:jc w:val="left"/>
              <w:textAlignment w:val="baseline"/>
              <w:rPr/>
            </w:pPr>
            <w:r>
              <w:rPr>
                <w:rFonts w:eastAsia="Times New Roman" w:cs="Calibri" w:cstheme="minorHAnsi"/>
                <w:color w:val="000000" w:themeColor="text1"/>
                <w:sz w:val="22"/>
                <w:szCs w:val="22"/>
                <w:lang w:eastAsia="en-GB"/>
              </w:rPr>
              <w:t>Easy, inexpensive application</w:t>
            </w:r>
          </w:p>
          <w:p>
            <w:pPr>
              <w:pStyle w:val="Normal"/>
              <w:bidi w:val="0"/>
              <w:ind w:hanging="0"/>
              <w:jc w:val="left"/>
              <w:textAlignment w:val="baseline"/>
              <w:rPr>
                <w:rFonts w:eastAsia="Times New Roman" w:cs="Calibri" w:cstheme="minorHAnsi"/>
                <w:color w:val="000000" w:themeColor="text1"/>
                <w:sz w:val="22"/>
                <w:szCs w:val="22"/>
                <w:lang w:eastAsia="en-GB"/>
              </w:rPr>
            </w:pPr>
            <w:r>
              <w:rPr>
                <w:rFonts w:eastAsia="Times New Roman" w:cs="Calibri" w:cstheme="minorHAnsi"/>
                <w:color w:val="000000" w:themeColor="text1"/>
                <w:sz w:val="22"/>
                <w:szCs w:val="22"/>
                <w:lang w:eastAsia="en-GB"/>
              </w:rPr>
            </w:r>
          </w:p>
          <w:p>
            <w:pPr>
              <w:pStyle w:val="Normal"/>
              <w:bidi w:val="0"/>
              <w:ind w:hanging="0"/>
              <w:jc w:val="left"/>
              <w:textAlignment w:val="baseline"/>
              <w:rPr/>
            </w:pPr>
            <w:r>
              <w:rPr>
                <w:rFonts w:eastAsia="Times New Roman" w:cs="Calibri" w:cstheme="minorHAnsi"/>
                <w:color w:val="000000" w:themeColor="text1"/>
                <w:sz w:val="22"/>
                <w:szCs w:val="22"/>
                <w:lang w:eastAsia="en-GB"/>
              </w:rPr>
              <w:t>Measures intra-abdominal and subcutaneous fat concentration around the abdomen, which is correlated with an increased risk of metabolic disorders, cardiovascular disease, some cancers and mortality</w:t>
            </w:r>
          </w:p>
          <w:p>
            <w:pPr>
              <w:pStyle w:val="Normal"/>
              <w:bidi w:val="0"/>
              <w:ind w:hanging="0"/>
              <w:jc w:val="left"/>
              <w:textAlignment w:val="baseline"/>
              <w:rPr>
                <w:rFonts w:eastAsia="Times New Roman" w:cs="Calibri" w:cstheme="minorHAnsi"/>
                <w:color w:val="000000" w:themeColor="text1"/>
                <w:sz w:val="22"/>
                <w:szCs w:val="22"/>
                <w:lang w:eastAsia="en-GB"/>
              </w:rPr>
            </w:pPr>
            <w:r>
              <w:rPr>
                <w:rFonts w:eastAsia="Times New Roman" w:cs="Calibri" w:cstheme="minorHAnsi"/>
                <w:color w:val="000000" w:themeColor="text1"/>
                <w:sz w:val="22"/>
                <w:szCs w:val="22"/>
                <w:lang w:eastAsia="en-GB"/>
              </w:rPr>
            </w:r>
          </w:p>
          <w:p>
            <w:pPr>
              <w:pStyle w:val="Normal"/>
              <w:bidi w:val="0"/>
              <w:ind w:hanging="0"/>
              <w:jc w:val="left"/>
              <w:textAlignment w:val="baseline"/>
              <w:rPr/>
            </w:pPr>
            <w:r>
              <w:rPr>
                <w:rFonts w:eastAsia="Times New Roman" w:cs="Calibri" w:cstheme="minorHAnsi"/>
                <w:color w:val="000000" w:themeColor="text1"/>
                <w:sz w:val="22"/>
                <w:szCs w:val="22"/>
                <w:lang w:eastAsia="en-GB"/>
              </w:rPr>
              <w:t>Strongly correlated with total body fat in adults</w:t>
            </w:r>
          </w:p>
        </w:tc>
        <w:tc>
          <w:tcPr>
            <w:tcW w:w="3629" w:type="dxa"/>
            <w:tcBorders>
              <w:top w:val="nil"/>
              <w:left w:val="single" w:sz="6" w:space="0" w:color="000000"/>
              <w:bottom w:val="single" w:sz="6" w:space="0" w:color="000000"/>
              <w:right w:val="single" w:sz="6" w:space="0" w:color="000000"/>
            </w:tcBorders>
            <w:shd w:fill="auto" w:val="clear"/>
          </w:tcPr>
          <w:p>
            <w:pPr>
              <w:pStyle w:val="Normal"/>
              <w:bidi w:val="0"/>
              <w:ind w:hanging="0"/>
              <w:jc w:val="left"/>
              <w:textAlignment w:val="baseline"/>
              <w:rPr/>
            </w:pPr>
            <w:r>
              <w:rPr>
                <w:rFonts w:eastAsia="Times New Roman" w:cs="Calibri" w:cstheme="minorHAnsi"/>
                <w:color w:val="000000" w:themeColor="text1"/>
                <w:sz w:val="22"/>
                <w:szCs w:val="22"/>
                <w:lang w:eastAsia="en-GB"/>
              </w:rPr>
              <w:t>Imperfect indicator of intra-abdominal fat alone</w:t>
            </w:r>
          </w:p>
          <w:p>
            <w:pPr>
              <w:pStyle w:val="Normal"/>
              <w:bidi w:val="0"/>
              <w:ind w:hanging="0"/>
              <w:jc w:val="left"/>
              <w:textAlignment w:val="baseline"/>
              <w:rPr>
                <w:rFonts w:eastAsia="Times New Roman" w:cs="Calibri" w:cstheme="minorHAnsi"/>
                <w:color w:val="000000" w:themeColor="text1"/>
                <w:sz w:val="22"/>
                <w:szCs w:val="22"/>
                <w:lang w:eastAsia="en-GB"/>
              </w:rPr>
            </w:pPr>
            <w:r>
              <w:rPr>
                <w:rFonts w:eastAsia="Times New Roman" w:cs="Calibri" w:cstheme="minorHAnsi"/>
                <w:color w:val="000000" w:themeColor="text1"/>
                <w:sz w:val="22"/>
                <w:szCs w:val="22"/>
                <w:lang w:eastAsia="en-GB"/>
              </w:rPr>
            </w:r>
          </w:p>
          <w:p>
            <w:pPr>
              <w:pStyle w:val="Normal"/>
              <w:bidi w:val="0"/>
              <w:ind w:hanging="0"/>
              <w:jc w:val="left"/>
              <w:textAlignment w:val="baseline"/>
              <w:rPr/>
            </w:pPr>
            <w:r>
              <w:rPr>
                <w:rFonts w:eastAsia="Times New Roman" w:cs="Calibri" w:cstheme="minorHAnsi"/>
                <w:color w:val="000000" w:themeColor="text1"/>
                <w:sz w:val="22"/>
                <w:szCs w:val="22"/>
                <w:lang w:eastAsia="en-GB"/>
              </w:rPr>
              <w:t>Heterogeneity in application (some clinicians measure waist circumference, belly button circumference or circumference from the widest point)</w:t>
            </w:r>
          </w:p>
          <w:p>
            <w:pPr>
              <w:pStyle w:val="Normal"/>
              <w:bidi w:val="0"/>
              <w:ind w:hanging="0"/>
              <w:jc w:val="left"/>
              <w:textAlignment w:val="baseline"/>
              <w:rPr>
                <w:rFonts w:eastAsia="Times New Roman" w:cs="Calibri" w:cstheme="minorHAnsi"/>
                <w:color w:val="000000" w:themeColor="text1"/>
                <w:sz w:val="22"/>
                <w:szCs w:val="22"/>
                <w:lang w:eastAsia="en-GB"/>
              </w:rPr>
            </w:pPr>
            <w:r>
              <w:rPr>
                <w:rFonts w:eastAsia="Times New Roman" w:cs="Calibri" w:cstheme="minorHAnsi"/>
                <w:color w:val="000000" w:themeColor="text1"/>
                <w:sz w:val="22"/>
                <w:szCs w:val="22"/>
                <w:lang w:eastAsia="en-GB"/>
              </w:rPr>
            </w:r>
          </w:p>
          <w:p>
            <w:pPr>
              <w:pStyle w:val="Normal"/>
              <w:bidi w:val="0"/>
              <w:ind w:hanging="0"/>
              <w:jc w:val="left"/>
              <w:textAlignment w:val="baseline"/>
              <w:rPr/>
            </w:pPr>
            <w:r>
              <w:rPr>
                <w:rFonts w:eastAsia="Times New Roman" w:cs="Calibri" w:cstheme="minorHAnsi"/>
                <w:color w:val="000000" w:themeColor="text1"/>
                <w:sz w:val="22"/>
                <w:szCs w:val="22"/>
                <w:lang w:eastAsia="en-GB"/>
              </w:rPr>
              <w:t>Difficult to measure and less accurate in individuals with a BMI &gt; 35</w:t>
            </w:r>
          </w:p>
        </w:tc>
      </w:tr>
      <w:tr>
        <w:trPr/>
        <w:tc>
          <w:tcPr>
            <w:tcW w:w="1838" w:type="dxa"/>
            <w:tcBorders>
              <w:top w:val="nil"/>
              <w:left w:val="single" w:sz="6" w:space="0" w:color="000000"/>
              <w:bottom w:val="single" w:sz="6" w:space="0" w:color="000000"/>
              <w:right w:val="nil"/>
            </w:tcBorders>
            <w:shd w:fill="auto" w:val="clear"/>
          </w:tcPr>
          <w:p>
            <w:pPr>
              <w:pStyle w:val="Normal"/>
              <w:bidi w:val="0"/>
              <w:ind w:hanging="0"/>
              <w:jc w:val="left"/>
              <w:textAlignment w:val="baseline"/>
              <w:rPr/>
            </w:pPr>
            <w:r>
              <w:rPr>
                <w:rFonts w:eastAsia="Times New Roman" w:cs="Calibri" w:cstheme="minorHAnsi"/>
                <w:color w:val="000000" w:themeColor="text1"/>
                <w:sz w:val="22"/>
                <w:szCs w:val="22"/>
                <w:lang w:eastAsia="en-GB"/>
              </w:rPr>
              <w:t>Waist-to-Hip Ratio (WHR)</w:t>
            </w:r>
          </w:p>
        </w:tc>
        <w:tc>
          <w:tcPr>
            <w:tcW w:w="3543" w:type="dxa"/>
            <w:tcBorders>
              <w:top w:val="nil"/>
              <w:left w:val="single" w:sz="6" w:space="0" w:color="000000"/>
              <w:bottom w:val="single" w:sz="6" w:space="0" w:color="000000"/>
              <w:right w:val="nil"/>
            </w:tcBorders>
            <w:shd w:fill="auto" w:val="clear"/>
          </w:tcPr>
          <w:p>
            <w:pPr>
              <w:pStyle w:val="Normal"/>
              <w:bidi w:val="0"/>
              <w:ind w:hanging="0"/>
              <w:jc w:val="left"/>
              <w:textAlignment w:val="baseline"/>
              <w:rPr/>
            </w:pPr>
            <w:r>
              <w:rPr>
                <w:rFonts w:eastAsia="Times New Roman" w:cs="Calibri" w:cstheme="minorHAnsi"/>
                <w:color w:val="000000" w:themeColor="text1"/>
                <w:sz w:val="22"/>
                <w:szCs w:val="22"/>
                <w:lang w:eastAsia="en-GB"/>
              </w:rPr>
              <w:t>Easy, inexpensive application</w:t>
            </w:r>
          </w:p>
          <w:p>
            <w:pPr>
              <w:pStyle w:val="Normal"/>
              <w:bidi w:val="0"/>
              <w:ind w:hanging="0"/>
              <w:jc w:val="left"/>
              <w:textAlignment w:val="baseline"/>
              <w:rPr>
                <w:rFonts w:eastAsia="Times New Roman" w:cs="Calibri" w:cstheme="minorHAnsi"/>
                <w:color w:val="000000" w:themeColor="text1"/>
                <w:sz w:val="22"/>
                <w:szCs w:val="22"/>
                <w:lang w:eastAsia="en-GB"/>
              </w:rPr>
            </w:pPr>
            <w:r>
              <w:rPr>
                <w:rFonts w:eastAsia="Times New Roman" w:cs="Calibri" w:cstheme="minorHAnsi"/>
                <w:color w:val="000000" w:themeColor="text1"/>
                <w:sz w:val="22"/>
                <w:szCs w:val="22"/>
                <w:lang w:eastAsia="en-GB"/>
              </w:rPr>
            </w:r>
          </w:p>
          <w:p>
            <w:pPr>
              <w:pStyle w:val="Normal"/>
              <w:bidi w:val="0"/>
              <w:ind w:hanging="0"/>
              <w:jc w:val="left"/>
              <w:textAlignment w:val="baseline"/>
              <w:rPr/>
            </w:pPr>
            <w:r>
              <w:rPr>
                <w:rFonts w:eastAsia="Times New Roman" w:cs="Calibri" w:cstheme="minorHAnsi"/>
                <w:color w:val="000000" w:themeColor="text1"/>
                <w:sz w:val="22"/>
                <w:szCs w:val="22"/>
                <w:lang w:eastAsia="en-GB"/>
              </w:rPr>
              <w:t>Measures intra-abdominal and subcutaneous fat concentration around the abdomen, which is correlated with an increased risk of metabolic disorders, cardiovascular disease, some cancers and mortality</w:t>
            </w:r>
          </w:p>
          <w:p>
            <w:pPr>
              <w:pStyle w:val="Normal"/>
              <w:bidi w:val="0"/>
              <w:ind w:hanging="0"/>
              <w:jc w:val="left"/>
              <w:textAlignment w:val="baseline"/>
              <w:rPr>
                <w:rFonts w:eastAsia="Times New Roman" w:cs="Calibri" w:cstheme="minorHAnsi"/>
                <w:color w:val="000000" w:themeColor="text1"/>
                <w:sz w:val="22"/>
                <w:szCs w:val="22"/>
                <w:lang w:eastAsia="en-GB"/>
              </w:rPr>
            </w:pPr>
            <w:r>
              <w:rPr>
                <w:rFonts w:eastAsia="Times New Roman" w:cs="Calibri" w:cstheme="minorHAnsi"/>
                <w:color w:val="000000" w:themeColor="text1"/>
                <w:sz w:val="22"/>
                <w:szCs w:val="22"/>
                <w:lang w:eastAsia="en-GB"/>
              </w:rPr>
            </w:r>
          </w:p>
          <w:p>
            <w:pPr>
              <w:pStyle w:val="Normal"/>
              <w:bidi w:val="0"/>
              <w:ind w:hanging="0"/>
              <w:jc w:val="left"/>
              <w:textAlignment w:val="baseline"/>
              <w:rPr/>
            </w:pPr>
            <w:r>
              <w:rPr>
                <w:rFonts w:eastAsia="Times New Roman" w:cs="Calibri" w:cstheme="minorHAnsi"/>
                <w:color w:val="000000" w:themeColor="text1"/>
                <w:sz w:val="22"/>
                <w:szCs w:val="22"/>
                <w:lang w:eastAsia="en-GB"/>
              </w:rPr>
              <w:t>Strongly correlated with total body fat in adults</w:t>
            </w:r>
          </w:p>
        </w:tc>
        <w:tc>
          <w:tcPr>
            <w:tcW w:w="3629" w:type="dxa"/>
            <w:tcBorders>
              <w:top w:val="nil"/>
              <w:left w:val="single" w:sz="6" w:space="0" w:color="000000"/>
              <w:bottom w:val="single" w:sz="6" w:space="0" w:color="000000"/>
              <w:right w:val="single" w:sz="6" w:space="0" w:color="000000"/>
            </w:tcBorders>
            <w:shd w:fill="auto" w:val="clear"/>
          </w:tcPr>
          <w:p>
            <w:pPr>
              <w:pStyle w:val="Normal"/>
              <w:bidi w:val="0"/>
              <w:ind w:hanging="0"/>
              <w:jc w:val="left"/>
              <w:textAlignment w:val="baseline"/>
              <w:rPr/>
            </w:pPr>
            <w:r>
              <w:rPr>
                <w:rFonts w:eastAsia="Times New Roman" w:cs="Calibri" w:cstheme="minorHAnsi"/>
                <w:color w:val="000000" w:themeColor="text1"/>
                <w:sz w:val="22"/>
                <w:szCs w:val="22"/>
                <w:lang w:eastAsia="en-GB"/>
              </w:rPr>
              <w:t>More prone to measurement error due to the use of two variables</w:t>
            </w:r>
          </w:p>
          <w:p>
            <w:pPr>
              <w:pStyle w:val="Normal"/>
              <w:bidi w:val="0"/>
              <w:ind w:hanging="0"/>
              <w:jc w:val="left"/>
              <w:textAlignment w:val="baseline"/>
              <w:rPr>
                <w:rFonts w:eastAsia="Times New Roman" w:cs="Calibri" w:cstheme="minorHAnsi"/>
                <w:color w:val="000000" w:themeColor="text1"/>
                <w:sz w:val="22"/>
                <w:szCs w:val="22"/>
                <w:lang w:eastAsia="en-GB"/>
              </w:rPr>
            </w:pPr>
            <w:r>
              <w:rPr>
                <w:rFonts w:eastAsia="Times New Roman" w:cs="Calibri" w:cstheme="minorHAnsi"/>
                <w:color w:val="000000" w:themeColor="text1"/>
                <w:sz w:val="22"/>
                <w:szCs w:val="22"/>
                <w:lang w:eastAsia="en-GB"/>
              </w:rPr>
            </w:r>
          </w:p>
          <w:p>
            <w:pPr>
              <w:pStyle w:val="Normal"/>
              <w:bidi w:val="0"/>
              <w:ind w:hanging="0"/>
              <w:jc w:val="left"/>
              <w:textAlignment w:val="baseline"/>
              <w:rPr/>
            </w:pPr>
            <w:r>
              <w:rPr>
                <w:rFonts w:eastAsia="Times New Roman" w:cs="Calibri" w:cstheme="minorHAnsi"/>
                <w:color w:val="000000" w:themeColor="text1"/>
                <w:sz w:val="22"/>
                <w:szCs w:val="22"/>
                <w:lang w:eastAsia="en-GB"/>
              </w:rPr>
              <w:t>Complicated to interpret (increased WHR could be caused by increased abdominal fat or decreased lean muscle mass around the hips)</w:t>
            </w:r>
          </w:p>
          <w:p>
            <w:pPr>
              <w:pStyle w:val="Normal"/>
              <w:bidi w:val="0"/>
              <w:ind w:hanging="0"/>
              <w:jc w:val="left"/>
              <w:textAlignment w:val="baseline"/>
              <w:rPr>
                <w:rFonts w:eastAsia="Times New Roman" w:cs="Calibri" w:cstheme="minorHAnsi"/>
                <w:color w:val="000000" w:themeColor="text1"/>
                <w:sz w:val="22"/>
                <w:szCs w:val="22"/>
                <w:lang w:eastAsia="en-GB"/>
              </w:rPr>
            </w:pPr>
            <w:r>
              <w:rPr>
                <w:rFonts w:eastAsia="Times New Roman" w:cs="Calibri" w:cstheme="minorHAnsi"/>
                <w:color w:val="000000" w:themeColor="text1"/>
                <w:sz w:val="22"/>
                <w:szCs w:val="22"/>
                <w:lang w:eastAsia="en-GB"/>
              </w:rPr>
            </w:r>
          </w:p>
          <w:p>
            <w:pPr>
              <w:pStyle w:val="Normal"/>
              <w:bidi w:val="0"/>
              <w:ind w:hanging="0"/>
              <w:jc w:val="left"/>
              <w:textAlignment w:val="baseline"/>
              <w:rPr/>
            </w:pPr>
            <w:r>
              <w:rPr>
                <w:rFonts w:eastAsia="Times New Roman" w:cs="Calibri" w:cstheme="minorHAnsi"/>
                <w:color w:val="000000" w:themeColor="text1"/>
                <w:sz w:val="22"/>
                <w:szCs w:val="22"/>
                <w:lang w:eastAsia="en-GB"/>
              </w:rPr>
              <w:t>Difficult to measure and less accurate in individuals with a BMI &gt; 35</w:t>
            </w:r>
          </w:p>
        </w:tc>
      </w:tr>
      <w:tr>
        <w:trPr/>
        <w:tc>
          <w:tcPr>
            <w:tcW w:w="1838" w:type="dxa"/>
            <w:tcBorders>
              <w:top w:val="nil"/>
              <w:left w:val="single" w:sz="6" w:space="0" w:color="000000"/>
              <w:bottom w:val="single" w:sz="6" w:space="0" w:color="000000"/>
              <w:right w:val="nil"/>
            </w:tcBorders>
            <w:shd w:fill="auto" w:val="clear"/>
          </w:tcPr>
          <w:p>
            <w:pPr>
              <w:pStyle w:val="Normal"/>
              <w:bidi w:val="0"/>
              <w:ind w:hanging="0"/>
              <w:jc w:val="left"/>
              <w:textAlignment w:val="baseline"/>
              <w:rPr/>
            </w:pPr>
            <w:r>
              <w:rPr>
                <w:rFonts w:eastAsia="Times New Roman" w:cs="Calibri" w:cstheme="minorHAnsi"/>
                <w:color w:val="000000" w:themeColor="text1"/>
                <w:sz w:val="22"/>
                <w:szCs w:val="22"/>
                <w:lang w:eastAsia="en-GB"/>
              </w:rPr>
              <w:t>Waist-to-Height Ratio</w:t>
            </w:r>
          </w:p>
        </w:tc>
        <w:tc>
          <w:tcPr>
            <w:tcW w:w="3543" w:type="dxa"/>
            <w:tcBorders>
              <w:top w:val="nil"/>
              <w:left w:val="single" w:sz="6" w:space="0" w:color="000000"/>
              <w:bottom w:val="single" w:sz="6" w:space="0" w:color="000000"/>
              <w:right w:val="nil"/>
            </w:tcBorders>
            <w:shd w:fill="auto" w:val="clear"/>
          </w:tcPr>
          <w:p>
            <w:pPr>
              <w:pStyle w:val="Normal"/>
              <w:bidi w:val="0"/>
              <w:ind w:hanging="0"/>
              <w:jc w:val="left"/>
              <w:textAlignment w:val="baseline"/>
              <w:rPr/>
            </w:pPr>
            <w:r>
              <w:rPr>
                <w:rFonts w:eastAsia="Times New Roman" w:cs="Calibri" w:cstheme="minorHAnsi"/>
                <w:color w:val="000000" w:themeColor="text1"/>
                <w:sz w:val="22"/>
                <w:szCs w:val="22"/>
                <w:lang w:eastAsia="en-GB"/>
              </w:rPr>
              <w:t>Easy, inexpensive application</w:t>
            </w:r>
          </w:p>
          <w:p>
            <w:pPr>
              <w:pStyle w:val="Normal"/>
              <w:bidi w:val="0"/>
              <w:ind w:hanging="0"/>
              <w:jc w:val="left"/>
              <w:textAlignment w:val="baseline"/>
              <w:rPr>
                <w:rFonts w:eastAsia="Times New Roman" w:cs="Calibri" w:cstheme="minorHAnsi"/>
                <w:color w:val="000000" w:themeColor="text1"/>
                <w:sz w:val="22"/>
                <w:szCs w:val="22"/>
                <w:lang w:eastAsia="en-GB"/>
              </w:rPr>
            </w:pPr>
            <w:r>
              <w:rPr>
                <w:rFonts w:eastAsia="Times New Roman" w:cs="Calibri" w:cstheme="minorHAnsi"/>
                <w:color w:val="000000" w:themeColor="text1"/>
                <w:sz w:val="22"/>
                <w:szCs w:val="22"/>
                <w:lang w:eastAsia="en-GB"/>
              </w:rPr>
            </w:r>
          </w:p>
          <w:p>
            <w:pPr>
              <w:pStyle w:val="Normal"/>
              <w:bidi w:val="0"/>
              <w:ind w:hanging="0"/>
              <w:jc w:val="left"/>
              <w:textAlignment w:val="baseline"/>
              <w:rPr/>
            </w:pPr>
            <w:r>
              <w:rPr>
                <w:rFonts w:eastAsia="Times New Roman" w:cs="Calibri" w:cstheme="minorHAnsi"/>
                <w:color w:val="000000" w:themeColor="text1"/>
                <w:sz w:val="22"/>
                <w:szCs w:val="22"/>
                <w:lang w:eastAsia="en-GB"/>
              </w:rPr>
              <w:t>Strong predictor of total body fat, visceral fat and metabolic syndrome (more powerful than BMI and abdominal circumference)</w:t>
            </w:r>
          </w:p>
        </w:tc>
        <w:tc>
          <w:tcPr>
            <w:tcW w:w="3629" w:type="dxa"/>
            <w:tcBorders>
              <w:top w:val="nil"/>
              <w:left w:val="single" w:sz="6" w:space="0" w:color="000000"/>
              <w:bottom w:val="single" w:sz="6" w:space="0" w:color="000000"/>
              <w:right w:val="single" w:sz="6" w:space="0" w:color="000000"/>
            </w:tcBorders>
            <w:shd w:fill="auto" w:val="clear"/>
          </w:tcPr>
          <w:p>
            <w:pPr>
              <w:pStyle w:val="Normal"/>
              <w:bidi w:val="0"/>
              <w:ind w:hanging="0"/>
              <w:jc w:val="left"/>
              <w:textAlignment w:val="baseline"/>
              <w:rPr/>
            </w:pPr>
            <w:r>
              <w:rPr>
                <w:rFonts w:eastAsia="Times New Roman" w:cs="Calibri" w:cstheme="minorHAnsi"/>
                <w:color w:val="000000" w:themeColor="text1"/>
                <w:sz w:val="22"/>
                <w:szCs w:val="22"/>
                <w:lang w:eastAsia="en-GB"/>
              </w:rPr>
              <w:t>More prone to measurement error due to the use of two variables</w:t>
            </w:r>
          </w:p>
          <w:p>
            <w:pPr>
              <w:pStyle w:val="Normal"/>
              <w:bidi w:val="0"/>
              <w:ind w:hanging="0"/>
              <w:jc w:val="left"/>
              <w:textAlignment w:val="baseline"/>
              <w:rPr>
                <w:rFonts w:eastAsia="Times New Roman" w:cs="Calibri" w:cstheme="minorHAnsi"/>
                <w:color w:val="000000" w:themeColor="text1"/>
                <w:sz w:val="22"/>
                <w:szCs w:val="22"/>
                <w:lang w:eastAsia="en-GB"/>
              </w:rPr>
            </w:pPr>
            <w:r>
              <w:rPr>
                <w:rFonts w:eastAsia="Times New Roman" w:cs="Calibri" w:cstheme="minorHAnsi"/>
                <w:color w:val="000000" w:themeColor="text1"/>
                <w:sz w:val="22"/>
                <w:szCs w:val="22"/>
                <w:lang w:eastAsia="en-GB"/>
              </w:rPr>
            </w:r>
          </w:p>
          <w:p>
            <w:pPr>
              <w:pStyle w:val="Normal"/>
              <w:bidi w:val="0"/>
              <w:ind w:hanging="0"/>
              <w:jc w:val="left"/>
              <w:textAlignment w:val="baseline"/>
              <w:rPr/>
            </w:pPr>
            <w:r>
              <w:rPr>
                <w:rFonts w:eastAsia="Times New Roman" w:cs="Calibri" w:cstheme="minorHAnsi"/>
                <w:color w:val="000000" w:themeColor="text1"/>
                <w:sz w:val="22"/>
                <w:szCs w:val="22"/>
                <w:lang w:eastAsia="en-GB"/>
              </w:rPr>
              <w:t>Difficult to measure and less accurate in individuals with a BMI &gt; 35</w:t>
            </w:r>
          </w:p>
        </w:tc>
      </w:tr>
      <w:tr>
        <w:trPr/>
        <w:tc>
          <w:tcPr>
            <w:tcW w:w="1838" w:type="dxa"/>
            <w:tcBorders>
              <w:top w:val="nil"/>
              <w:left w:val="single" w:sz="6" w:space="0" w:color="000000"/>
              <w:bottom w:val="single" w:sz="6" w:space="0" w:color="000000"/>
              <w:right w:val="nil"/>
            </w:tcBorders>
            <w:shd w:fill="auto" w:val="clear"/>
          </w:tcPr>
          <w:p>
            <w:pPr>
              <w:pStyle w:val="Normal"/>
              <w:bidi w:val="0"/>
              <w:ind w:hanging="0"/>
              <w:jc w:val="left"/>
              <w:textAlignment w:val="baseline"/>
              <w:rPr/>
            </w:pPr>
            <w:r>
              <w:rPr>
                <w:rFonts w:eastAsia="Times New Roman" w:cs="Calibri" w:cstheme="minorHAnsi"/>
                <w:color w:val="000000" w:themeColor="text1"/>
                <w:sz w:val="22"/>
                <w:szCs w:val="22"/>
                <w:lang w:eastAsia="en-GB"/>
              </w:rPr>
              <w:t>Skinfold Thickness</w:t>
            </w:r>
          </w:p>
        </w:tc>
        <w:tc>
          <w:tcPr>
            <w:tcW w:w="3543" w:type="dxa"/>
            <w:tcBorders>
              <w:top w:val="nil"/>
              <w:left w:val="single" w:sz="6" w:space="0" w:color="000000"/>
              <w:bottom w:val="single" w:sz="6" w:space="0" w:color="000000"/>
              <w:right w:val="nil"/>
            </w:tcBorders>
            <w:shd w:fill="auto" w:val="clear"/>
          </w:tcPr>
          <w:p>
            <w:pPr>
              <w:pStyle w:val="Normal"/>
              <w:bidi w:val="0"/>
              <w:ind w:hanging="0"/>
              <w:jc w:val="left"/>
              <w:textAlignment w:val="baseline"/>
              <w:rPr/>
            </w:pPr>
            <w:r>
              <w:rPr>
                <w:rFonts w:eastAsia="Times New Roman" w:cs="Calibri" w:cstheme="minorHAnsi"/>
                <w:color w:val="000000" w:themeColor="text1"/>
                <w:sz w:val="22"/>
                <w:szCs w:val="22"/>
                <w:lang w:eastAsia="en-GB"/>
              </w:rPr>
              <w:t>Easy, inexpensive application</w:t>
            </w:r>
          </w:p>
          <w:p>
            <w:pPr>
              <w:pStyle w:val="Normal"/>
              <w:bidi w:val="0"/>
              <w:ind w:hanging="0"/>
              <w:jc w:val="left"/>
              <w:textAlignment w:val="baseline"/>
              <w:rPr>
                <w:rFonts w:eastAsia="Times New Roman" w:cs="Calibri" w:cstheme="minorHAnsi"/>
                <w:color w:val="000000" w:themeColor="text1"/>
                <w:sz w:val="22"/>
                <w:szCs w:val="22"/>
                <w:lang w:eastAsia="en-GB"/>
              </w:rPr>
            </w:pPr>
            <w:r>
              <w:rPr>
                <w:rFonts w:eastAsia="Times New Roman" w:cs="Calibri" w:cstheme="minorHAnsi"/>
                <w:color w:val="000000" w:themeColor="text1"/>
                <w:sz w:val="22"/>
                <w:szCs w:val="22"/>
                <w:lang w:eastAsia="en-GB"/>
              </w:rPr>
            </w:r>
          </w:p>
          <w:p>
            <w:pPr>
              <w:pStyle w:val="Normal"/>
              <w:bidi w:val="0"/>
              <w:ind w:hanging="0"/>
              <w:jc w:val="left"/>
              <w:textAlignment w:val="baseline"/>
              <w:rPr/>
            </w:pPr>
            <w:r>
              <w:rPr>
                <w:rFonts w:eastAsia="Times New Roman" w:cs="Calibri" w:cstheme="minorHAnsi"/>
                <w:color w:val="000000" w:themeColor="text1"/>
                <w:sz w:val="22"/>
                <w:szCs w:val="22"/>
                <w:lang w:eastAsia="en-GB"/>
              </w:rPr>
              <w:t>Portable and convenient</w:t>
            </w:r>
          </w:p>
          <w:p>
            <w:pPr>
              <w:pStyle w:val="Normal"/>
              <w:bidi w:val="0"/>
              <w:ind w:hanging="0"/>
              <w:jc w:val="left"/>
              <w:textAlignment w:val="baseline"/>
              <w:rPr>
                <w:rFonts w:eastAsia="Times New Roman" w:cs="Calibri" w:cstheme="minorHAnsi"/>
                <w:color w:val="000000" w:themeColor="text1"/>
                <w:sz w:val="22"/>
                <w:szCs w:val="22"/>
                <w:lang w:eastAsia="en-GB"/>
              </w:rPr>
            </w:pPr>
            <w:r>
              <w:rPr>
                <w:rFonts w:eastAsia="Times New Roman" w:cs="Calibri" w:cstheme="minorHAnsi"/>
                <w:color w:val="000000" w:themeColor="text1"/>
                <w:sz w:val="22"/>
                <w:szCs w:val="22"/>
                <w:lang w:eastAsia="en-GB"/>
              </w:rPr>
            </w:r>
          </w:p>
          <w:p>
            <w:pPr>
              <w:pStyle w:val="Normal"/>
              <w:bidi w:val="0"/>
              <w:ind w:hanging="0"/>
              <w:jc w:val="left"/>
              <w:textAlignment w:val="baseline"/>
              <w:rPr/>
            </w:pPr>
            <w:r>
              <w:rPr>
                <w:rFonts w:eastAsia="Times New Roman" w:cs="Calibri" w:cstheme="minorHAnsi"/>
                <w:color w:val="000000" w:themeColor="text1"/>
                <w:sz w:val="22"/>
                <w:szCs w:val="22"/>
                <w:lang w:eastAsia="en-GB"/>
              </w:rPr>
              <w:t>Safe and accurate method to measure children</w:t>
            </w:r>
          </w:p>
        </w:tc>
        <w:tc>
          <w:tcPr>
            <w:tcW w:w="3629" w:type="dxa"/>
            <w:tcBorders>
              <w:top w:val="nil"/>
              <w:left w:val="single" w:sz="6" w:space="0" w:color="000000"/>
              <w:bottom w:val="single" w:sz="6" w:space="0" w:color="000000"/>
              <w:right w:val="single" w:sz="6" w:space="0" w:color="000000"/>
            </w:tcBorders>
            <w:shd w:fill="auto" w:val="clear"/>
          </w:tcPr>
          <w:p>
            <w:pPr>
              <w:pStyle w:val="Normal"/>
              <w:bidi w:val="0"/>
              <w:ind w:hanging="0"/>
              <w:jc w:val="left"/>
              <w:textAlignment w:val="baseline"/>
              <w:rPr/>
            </w:pPr>
            <w:r>
              <w:rPr>
                <w:rFonts w:eastAsia="Times New Roman" w:cs="Calibri" w:cstheme="minorHAnsi"/>
                <w:color w:val="000000" w:themeColor="text1"/>
                <w:sz w:val="22"/>
                <w:szCs w:val="22"/>
                <w:lang w:eastAsia="en-GB"/>
              </w:rPr>
              <w:t>Not as accurate as BMI</w:t>
            </w:r>
          </w:p>
          <w:p>
            <w:pPr>
              <w:pStyle w:val="Normal"/>
              <w:bidi w:val="0"/>
              <w:ind w:hanging="0"/>
              <w:jc w:val="left"/>
              <w:textAlignment w:val="baseline"/>
              <w:rPr>
                <w:rFonts w:eastAsia="Times New Roman" w:cs="Calibri" w:cstheme="minorHAnsi"/>
                <w:color w:val="000000" w:themeColor="text1"/>
                <w:sz w:val="22"/>
                <w:szCs w:val="22"/>
                <w:lang w:eastAsia="en-GB"/>
              </w:rPr>
            </w:pPr>
            <w:r>
              <w:rPr>
                <w:rFonts w:eastAsia="Times New Roman" w:cs="Calibri" w:cstheme="minorHAnsi"/>
                <w:color w:val="000000" w:themeColor="text1"/>
                <w:sz w:val="22"/>
                <w:szCs w:val="22"/>
                <w:lang w:eastAsia="en-GB"/>
              </w:rPr>
            </w:r>
          </w:p>
          <w:p>
            <w:pPr>
              <w:pStyle w:val="Normal"/>
              <w:bidi w:val="0"/>
              <w:ind w:hanging="0"/>
              <w:jc w:val="left"/>
              <w:textAlignment w:val="baseline"/>
              <w:rPr/>
            </w:pPr>
            <w:r>
              <w:rPr>
                <w:rFonts w:eastAsia="Times New Roman" w:cs="Calibri" w:cstheme="minorHAnsi"/>
                <w:color w:val="000000" w:themeColor="text1"/>
                <w:sz w:val="22"/>
                <w:szCs w:val="22"/>
                <w:lang w:eastAsia="en-GB"/>
              </w:rPr>
              <w:t>Not as reproducible as other methods</w:t>
            </w:r>
          </w:p>
          <w:p>
            <w:pPr>
              <w:pStyle w:val="Normal"/>
              <w:bidi w:val="0"/>
              <w:ind w:hanging="0"/>
              <w:jc w:val="left"/>
              <w:textAlignment w:val="baseline"/>
              <w:rPr>
                <w:rFonts w:eastAsia="Times New Roman" w:cs="Calibri" w:cstheme="minorHAnsi"/>
                <w:color w:val="000000" w:themeColor="text1"/>
                <w:sz w:val="22"/>
                <w:szCs w:val="22"/>
                <w:lang w:eastAsia="en-GB"/>
              </w:rPr>
            </w:pPr>
            <w:r>
              <w:rPr>
                <w:rFonts w:eastAsia="Times New Roman" w:cs="Calibri" w:cstheme="minorHAnsi"/>
                <w:color w:val="000000" w:themeColor="text1"/>
                <w:sz w:val="22"/>
                <w:szCs w:val="22"/>
                <w:lang w:eastAsia="en-GB"/>
              </w:rPr>
            </w:r>
          </w:p>
          <w:p>
            <w:pPr>
              <w:pStyle w:val="Normal"/>
              <w:bidi w:val="0"/>
              <w:ind w:hanging="0"/>
              <w:jc w:val="left"/>
              <w:textAlignment w:val="baseline"/>
              <w:rPr/>
            </w:pPr>
            <w:r>
              <w:rPr>
                <w:rFonts w:eastAsia="Times New Roman" w:cs="Calibri" w:cstheme="minorHAnsi"/>
                <w:color w:val="000000" w:themeColor="text1"/>
                <w:sz w:val="22"/>
                <w:szCs w:val="22"/>
                <w:lang w:eastAsia="en-GB"/>
              </w:rPr>
              <w:t>Very difficult to measure in individuals with a BMI &gt; 35</w:t>
            </w:r>
          </w:p>
        </w:tc>
      </w:tr>
      <w:tr>
        <w:trPr/>
        <w:tc>
          <w:tcPr>
            <w:tcW w:w="1838" w:type="dxa"/>
            <w:tcBorders>
              <w:top w:val="nil"/>
              <w:left w:val="single" w:sz="6" w:space="0" w:color="000000"/>
              <w:bottom w:val="single" w:sz="6" w:space="0" w:color="000000"/>
              <w:right w:val="nil"/>
            </w:tcBorders>
            <w:shd w:fill="auto" w:val="clear"/>
          </w:tcPr>
          <w:p>
            <w:pPr>
              <w:pStyle w:val="Normal"/>
              <w:bidi w:val="0"/>
              <w:ind w:hanging="0"/>
              <w:jc w:val="left"/>
              <w:textAlignment w:val="baseline"/>
              <w:rPr/>
            </w:pPr>
            <w:r>
              <w:rPr>
                <w:rFonts w:eastAsia="Times New Roman" w:cs="Calibri" w:cstheme="minorHAnsi"/>
                <w:color w:val="000000" w:themeColor="text1"/>
                <w:sz w:val="22"/>
                <w:szCs w:val="22"/>
                <w:lang w:eastAsia="en-GB"/>
              </w:rPr>
              <w:t>Bioelectrical Impedance</w:t>
            </w:r>
          </w:p>
        </w:tc>
        <w:tc>
          <w:tcPr>
            <w:tcW w:w="3543" w:type="dxa"/>
            <w:tcBorders>
              <w:top w:val="nil"/>
              <w:left w:val="single" w:sz="6" w:space="0" w:color="000000"/>
              <w:bottom w:val="single" w:sz="6" w:space="0" w:color="000000"/>
              <w:right w:val="nil"/>
            </w:tcBorders>
            <w:shd w:fill="auto" w:val="clear"/>
          </w:tcPr>
          <w:p>
            <w:pPr>
              <w:pStyle w:val="Normal"/>
              <w:bidi w:val="0"/>
              <w:ind w:hanging="0"/>
              <w:jc w:val="left"/>
              <w:textAlignment w:val="baseline"/>
              <w:rPr/>
            </w:pPr>
            <w:r>
              <w:rPr>
                <w:rFonts w:eastAsia="Times New Roman" w:cs="Calibri" w:cstheme="minorHAnsi"/>
                <w:color w:val="000000" w:themeColor="text1"/>
                <w:sz w:val="22"/>
                <w:szCs w:val="22"/>
                <w:lang w:eastAsia="en-GB"/>
              </w:rPr>
              <w:t>Easy, inexpensive application</w:t>
            </w:r>
          </w:p>
          <w:p>
            <w:pPr>
              <w:pStyle w:val="Normal"/>
              <w:bidi w:val="0"/>
              <w:ind w:hanging="0"/>
              <w:jc w:val="left"/>
              <w:textAlignment w:val="baseline"/>
              <w:rPr>
                <w:rFonts w:eastAsia="Times New Roman" w:cs="Calibri" w:cstheme="minorHAnsi"/>
                <w:color w:val="000000" w:themeColor="text1"/>
                <w:sz w:val="22"/>
                <w:szCs w:val="22"/>
                <w:lang w:eastAsia="en-GB"/>
              </w:rPr>
            </w:pPr>
            <w:r>
              <w:rPr>
                <w:rFonts w:eastAsia="Times New Roman" w:cs="Calibri" w:cstheme="minorHAnsi"/>
                <w:color w:val="000000" w:themeColor="text1"/>
                <w:sz w:val="22"/>
                <w:szCs w:val="22"/>
                <w:lang w:eastAsia="en-GB"/>
              </w:rPr>
            </w:r>
          </w:p>
          <w:p>
            <w:pPr>
              <w:pStyle w:val="Normal"/>
              <w:bidi w:val="0"/>
              <w:ind w:hanging="0"/>
              <w:jc w:val="left"/>
              <w:textAlignment w:val="baseline"/>
              <w:rPr/>
            </w:pPr>
            <w:r>
              <w:rPr>
                <w:rFonts w:eastAsia="Times New Roman" w:cs="Calibri" w:cstheme="minorHAnsi"/>
                <w:color w:val="000000" w:themeColor="text1"/>
                <w:sz w:val="22"/>
                <w:szCs w:val="22"/>
                <w:lang w:eastAsia="en-GB"/>
              </w:rPr>
              <w:t>Portable and convenient</w:t>
            </w:r>
          </w:p>
        </w:tc>
        <w:tc>
          <w:tcPr>
            <w:tcW w:w="3629" w:type="dxa"/>
            <w:tcBorders>
              <w:top w:val="nil"/>
              <w:left w:val="single" w:sz="6" w:space="0" w:color="000000"/>
              <w:bottom w:val="single" w:sz="6" w:space="0" w:color="000000"/>
              <w:right w:val="single" w:sz="6" w:space="0" w:color="000000"/>
            </w:tcBorders>
            <w:shd w:fill="auto" w:val="clear"/>
          </w:tcPr>
          <w:p>
            <w:pPr>
              <w:pStyle w:val="Normal"/>
              <w:bidi w:val="0"/>
              <w:ind w:hanging="0"/>
              <w:jc w:val="left"/>
              <w:textAlignment w:val="baseline"/>
              <w:rPr/>
            </w:pPr>
            <w:r>
              <w:rPr>
                <w:rFonts w:eastAsia="Times New Roman" w:cs="Calibri" w:cstheme="minorHAnsi"/>
                <w:color w:val="000000" w:themeColor="text1"/>
                <w:sz w:val="22"/>
                <w:szCs w:val="22"/>
                <w:lang w:eastAsia="en-GB"/>
              </w:rPr>
              <w:t>Hard to calibrate</w:t>
            </w:r>
          </w:p>
          <w:p>
            <w:pPr>
              <w:pStyle w:val="Normal"/>
              <w:bidi w:val="0"/>
              <w:ind w:hanging="0"/>
              <w:jc w:val="left"/>
              <w:textAlignment w:val="baseline"/>
              <w:rPr>
                <w:rFonts w:eastAsia="Times New Roman" w:cs="Calibri" w:cstheme="minorHAnsi"/>
                <w:color w:val="000000" w:themeColor="text1"/>
                <w:sz w:val="22"/>
                <w:szCs w:val="22"/>
                <w:lang w:eastAsia="en-GB"/>
              </w:rPr>
            </w:pPr>
            <w:r>
              <w:rPr>
                <w:rFonts w:eastAsia="Times New Roman" w:cs="Calibri" w:cstheme="minorHAnsi"/>
                <w:color w:val="000000" w:themeColor="text1"/>
                <w:sz w:val="22"/>
                <w:szCs w:val="22"/>
                <w:lang w:eastAsia="en-GB"/>
              </w:rPr>
            </w:r>
          </w:p>
          <w:p>
            <w:pPr>
              <w:pStyle w:val="Normal"/>
              <w:bidi w:val="0"/>
              <w:ind w:hanging="0"/>
              <w:jc w:val="left"/>
              <w:textAlignment w:val="baseline"/>
              <w:rPr/>
            </w:pPr>
            <w:r>
              <w:rPr>
                <w:rFonts w:eastAsia="Times New Roman" w:cs="Calibri" w:cstheme="minorHAnsi"/>
                <w:color w:val="000000" w:themeColor="text1"/>
                <w:sz w:val="22"/>
                <w:szCs w:val="22"/>
                <w:lang w:eastAsia="en-GB"/>
              </w:rPr>
              <w:t>Not as accurate as other methods</w:t>
            </w:r>
          </w:p>
          <w:p>
            <w:pPr>
              <w:pStyle w:val="Normal"/>
              <w:bidi w:val="0"/>
              <w:ind w:hanging="0"/>
              <w:jc w:val="left"/>
              <w:textAlignment w:val="baseline"/>
              <w:rPr>
                <w:rFonts w:eastAsia="Times New Roman" w:cs="Calibri" w:cstheme="minorHAnsi"/>
                <w:color w:val="000000" w:themeColor="text1"/>
                <w:sz w:val="22"/>
                <w:szCs w:val="22"/>
                <w:lang w:eastAsia="en-GB"/>
              </w:rPr>
            </w:pPr>
            <w:r>
              <w:rPr>
                <w:rFonts w:eastAsia="Times New Roman" w:cs="Calibri" w:cstheme="minorHAnsi"/>
                <w:color w:val="000000" w:themeColor="text1"/>
                <w:sz w:val="22"/>
                <w:szCs w:val="22"/>
                <w:lang w:eastAsia="en-GB"/>
              </w:rPr>
            </w:r>
          </w:p>
          <w:p>
            <w:pPr>
              <w:pStyle w:val="Normal"/>
              <w:bidi w:val="0"/>
              <w:ind w:hanging="0"/>
              <w:jc w:val="left"/>
              <w:textAlignment w:val="baseline"/>
              <w:rPr/>
            </w:pPr>
            <w:r>
              <w:rPr>
                <w:rFonts w:eastAsia="Times New Roman" w:cs="Calibri" w:cstheme="minorHAnsi"/>
                <w:color w:val="000000" w:themeColor="text1"/>
                <w:sz w:val="22"/>
                <w:szCs w:val="22"/>
                <w:lang w:eastAsia="en-GB"/>
              </w:rPr>
              <w:t>Less accurate in individuals with a BMI &gt; 35</w:t>
            </w:r>
          </w:p>
        </w:tc>
      </w:tr>
      <w:tr>
        <w:trPr/>
        <w:tc>
          <w:tcPr>
            <w:tcW w:w="1838" w:type="dxa"/>
            <w:tcBorders>
              <w:top w:val="nil"/>
              <w:left w:val="single" w:sz="6" w:space="0" w:color="000000"/>
              <w:bottom w:val="single" w:sz="6" w:space="0" w:color="000000"/>
              <w:right w:val="nil"/>
            </w:tcBorders>
            <w:shd w:fill="auto" w:val="clear"/>
          </w:tcPr>
          <w:p>
            <w:pPr>
              <w:pStyle w:val="Normal"/>
              <w:bidi w:val="0"/>
              <w:ind w:hanging="0"/>
              <w:jc w:val="left"/>
              <w:textAlignment w:val="baseline"/>
              <w:rPr/>
            </w:pPr>
            <w:r>
              <w:rPr>
                <w:rFonts w:eastAsia="Times New Roman" w:cs="Calibri" w:cstheme="minorHAnsi"/>
                <w:color w:val="000000" w:themeColor="text1"/>
                <w:sz w:val="22"/>
                <w:szCs w:val="22"/>
                <w:lang w:eastAsia="en-GB"/>
              </w:rPr>
              <w:t>Underwater Weighing (Densitometry)</w:t>
            </w:r>
          </w:p>
        </w:tc>
        <w:tc>
          <w:tcPr>
            <w:tcW w:w="3543" w:type="dxa"/>
            <w:tcBorders>
              <w:top w:val="nil"/>
              <w:left w:val="single" w:sz="6" w:space="0" w:color="000000"/>
              <w:bottom w:val="single" w:sz="6" w:space="0" w:color="000000"/>
              <w:right w:val="nil"/>
            </w:tcBorders>
            <w:shd w:fill="auto" w:val="clear"/>
          </w:tcPr>
          <w:p>
            <w:pPr>
              <w:pStyle w:val="Normal"/>
              <w:bidi w:val="0"/>
              <w:ind w:hanging="0"/>
              <w:jc w:val="left"/>
              <w:textAlignment w:val="baseline"/>
              <w:rPr/>
            </w:pPr>
            <w:r>
              <w:rPr>
                <w:rFonts w:eastAsia="Times New Roman" w:cs="Calibri" w:cstheme="minorHAnsi"/>
                <w:color w:val="000000" w:themeColor="text1"/>
                <w:sz w:val="22"/>
                <w:szCs w:val="22"/>
                <w:lang w:eastAsia="en-GB"/>
              </w:rPr>
              <w:t>Accurate</w:t>
            </w:r>
          </w:p>
        </w:tc>
        <w:tc>
          <w:tcPr>
            <w:tcW w:w="3629" w:type="dxa"/>
            <w:tcBorders>
              <w:top w:val="nil"/>
              <w:left w:val="single" w:sz="6" w:space="0" w:color="000000"/>
              <w:bottom w:val="single" w:sz="6" w:space="0" w:color="000000"/>
              <w:right w:val="single" w:sz="6" w:space="0" w:color="000000"/>
            </w:tcBorders>
            <w:shd w:fill="auto" w:val="clear"/>
          </w:tcPr>
          <w:p>
            <w:pPr>
              <w:pStyle w:val="Normal"/>
              <w:bidi w:val="0"/>
              <w:ind w:hanging="0"/>
              <w:jc w:val="left"/>
              <w:textAlignment w:val="baseline"/>
              <w:rPr/>
            </w:pPr>
            <w:r>
              <w:rPr>
                <w:rFonts w:eastAsia="Times New Roman" w:cs="Calibri" w:cstheme="minorHAnsi"/>
                <w:color w:val="000000" w:themeColor="text1"/>
                <w:sz w:val="22"/>
                <w:szCs w:val="22"/>
                <w:lang w:eastAsia="en-GB"/>
              </w:rPr>
              <w:t>Time consuming</w:t>
            </w:r>
          </w:p>
          <w:p>
            <w:pPr>
              <w:pStyle w:val="Normal"/>
              <w:bidi w:val="0"/>
              <w:ind w:hanging="0"/>
              <w:jc w:val="left"/>
              <w:textAlignment w:val="baseline"/>
              <w:rPr>
                <w:rFonts w:eastAsia="Times New Roman" w:cs="Calibri" w:cstheme="minorHAnsi"/>
                <w:color w:val="000000" w:themeColor="text1"/>
                <w:sz w:val="22"/>
                <w:szCs w:val="22"/>
                <w:lang w:eastAsia="en-GB"/>
              </w:rPr>
            </w:pPr>
            <w:r>
              <w:rPr>
                <w:rFonts w:eastAsia="Times New Roman" w:cs="Calibri" w:cstheme="minorHAnsi"/>
                <w:color w:val="000000" w:themeColor="text1"/>
                <w:sz w:val="22"/>
                <w:szCs w:val="22"/>
                <w:lang w:eastAsia="en-GB"/>
              </w:rPr>
            </w:r>
          </w:p>
          <w:p>
            <w:pPr>
              <w:pStyle w:val="Normal"/>
              <w:bidi w:val="0"/>
              <w:ind w:hanging="0"/>
              <w:jc w:val="left"/>
              <w:textAlignment w:val="baseline"/>
              <w:rPr/>
            </w:pPr>
            <w:r>
              <w:rPr>
                <w:rFonts w:eastAsia="Times New Roman" w:cs="Calibri" w:cstheme="minorHAnsi"/>
                <w:color w:val="000000" w:themeColor="text1"/>
                <w:sz w:val="22"/>
                <w:szCs w:val="22"/>
                <w:lang w:eastAsia="en-GB"/>
              </w:rPr>
              <w:t>Requires individuals to be submerged underwater</w:t>
            </w:r>
          </w:p>
        </w:tc>
      </w:tr>
      <w:tr>
        <w:trPr/>
        <w:tc>
          <w:tcPr>
            <w:tcW w:w="1838" w:type="dxa"/>
            <w:tcBorders>
              <w:top w:val="nil"/>
              <w:left w:val="single" w:sz="6" w:space="0" w:color="000000"/>
              <w:bottom w:val="single" w:sz="6" w:space="0" w:color="000000"/>
              <w:right w:val="nil"/>
            </w:tcBorders>
            <w:shd w:fill="auto" w:val="clear"/>
          </w:tcPr>
          <w:p>
            <w:pPr>
              <w:pStyle w:val="Normal"/>
              <w:bidi w:val="0"/>
              <w:ind w:hanging="0"/>
              <w:jc w:val="left"/>
              <w:textAlignment w:val="baseline"/>
              <w:rPr/>
            </w:pPr>
            <w:r>
              <w:rPr>
                <w:rFonts w:eastAsia="Times New Roman" w:cs="Calibri" w:cstheme="minorHAnsi"/>
                <w:color w:val="000000" w:themeColor="text1"/>
                <w:sz w:val="22"/>
                <w:szCs w:val="22"/>
                <w:lang w:eastAsia="en-GB"/>
              </w:rPr>
              <w:t>Air-Displacement Plethysmography</w:t>
            </w:r>
          </w:p>
        </w:tc>
        <w:tc>
          <w:tcPr>
            <w:tcW w:w="3543" w:type="dxa"/>
            <w:tcBorders>
              <w:top w:val="nil"/>
              <w:left w:val="single" w:sz="6" w:space="0" w:color="000000"/>
              <w:bottom w:val="single" w:sz="6" w:space="0" w:color="000000"/>
              <w:right w:val="nil"/>
            </w:tcBorders>
            <w:shd w:fill="auto" w:val="clear"/>
          </w:tcPr>
          <w:p>
            <w:pPr>
              <w:pStyle w:val="Normal"/>
              <w:bidi w:val="0"/>
              <w:ind w:hanging="0"/>
              <w:jc w:val="left"/>
              <w:textAlignment w:val="baseline"/>
              <w:rPr/>
            </w:pPr>
            <w:r>
              <w:rPr>
                <w:rFonts w:eastAsia="Times New Roman" w:cs="Calibri" w:cstheme="minorHAnsi"/>
                <w:color w:val="000000" w:themeColor="text1"/>
                <w:sz w:val="22"/>
                <w:szCs w:val="22"/>
                <w:lang w:eastAsia="en-GB"/>
              </w:rPr>
              <w:t>Accurate</w:t>
            </w:r>
          </w:p>
          <w:p>
            <w:pPr>
              <w:pStyle w:val="Normal"/>
              <w:bidi w:val="0"/>
              <w:ind w:hanging="0"/>
              <w:jc w:val="left"/>
              <w:textAlignment w:val="baseline"/>
              <w:rPr>
                <w:rFonts w:eastAsia="Times New Roman" w:cs="Calibri" w:cstheme="minorHAnsi"/>
                <w:color w:val="000000" w:themeColor="text1"/>
                <w:sz w:val="22"/>
                <w:szCs w:val="22"/>
                <w:lang w:eastAsia="en-GB"/>
              </w:rPr>
            </w:pPr>
            <w:r>
              <w:rPr>
                <w:rFonts w:eastAsia="Times New Roman" w:cs="Calibri" w:cstheme="minorHAnsi"/>
                <w:color w:val="000000" w:themeColor="text1"/>
                <w:sz w:val="22"/>
                <w:szCs w:val="22"/>
                <w:lang w:eastAsia="en-GB"/>
              </w:rPr>
            </w:r>
          </w:p>
          <w:p>
            <w:pPr>
              <w:pStyle w:val="Normal"/>
              <w:bidi w:val="0"/>
              <w:ind w:hanging="0"/>
              <w:jc w:val="left"/>
              <w:textAlignment w:val="baseline"/>
              <w:rPr/>
            </w:pPr>
            <w:r>
              <w:rPr>
                <w:rFonts w:eastAsia="Times New Roman" w:cs="Calibri" w:cstheme="minorHAnsi"/>
                <w:color w:val="000000" w:themeColor="text1"/>
                <w:sz w:val="22"/>
                <w:szCs w:val="22"/>
                <w:lang w:eastAsia="en-GB"/>
              </w:rPr>
              <w:t>Safe, quick and comfortable</w:t>
            </w:r>
          </w:p>
        </w:tc>
        <w:tc>
          <w:tcPr>
            <w:tcW w:w="3629" w:type="dxa"/>
            <w:tcBorders>
              <w:top w:val="nil"/>
              <w:left w:val="single" w:sz="6" w:space="0" w:color="000000"/>
              <w:bottom w:val="single" w:sz="6" w:space="0" w:color="000000"/>
              <w:right w:val="single" w:sz="6" w:space="0" w:color="000000"/>
            </w:tcBorders>
            <w:shd w:fill="auto" w:val="clear"/>
          </w:tcPr>
          <w:p>
            <w:pPr>
              <w:pStyle w:val="Normal"/>
              <w:bidi w:val="0"/>
              <w:ind w:hanging="0"/>
              <w:jc w:val="left"/>
              <w:textAlignment w:val="baseline"/>
              <w:rPr/>
            </w:pPr>
            <w:r>
              <w:rPr>
                <w:rFonts w:eastAsia="Times New Roman" w:cs="Calibri" w:cstheme="minorHAnsi"/>
                <w:color w:val="000000" w:themeColor="text1"/>
                <w:sz w:val="22"/>
                <w:szCs w:val="22"/>
                <w:lang w:eastAsia="en-GB"/>
              </w:rPr>
              <w:t>Expensive</w:t>
            </w:r>
          </w:p>
        </w:tc>
      </w:tr>
      <w:tr>
        <w:trPr/>
        <w:tc>
          <w:tcPr>
            <w:tcW w:w="1838" w:type="dxa"/>
            <w:tcBorders>
              <w:top w:val="nil"/>
              <w:left w:val="single" w:sz="6" w:space="0" w:color="000000"/>
              <w:bottom w:val="single" w:sz="6" w:space="0" w:color="000000"/>
              <w:right w:val="nil"/>
            </w:tcBorders>
            <w:shd w:fill="auto" w:val="clear"/>
          </w:tcPr>
          <w:p>
            <w:pPr>
              <w:pStyle w:val="Normal"/>
              <w:bidi w:val="0"/>
              <w:ind w:hanging="0"/>
              <w:jc w:val="left"/>
              <w:textAlignment w:val="baseline"/>
              <w:rPr/>
            </w:pPr>
            <w:r>
              <w:rPr>
                <w:rFonts w:eastAsia="Times New Roman" w:cs="Calibri" w:cstheme="minorHAnsi"/>
                <w:color w:val="000000" w:themeColor="text1"/>
                <w:sz w:val="22"/>
                <w:szCs w:val="22"/>
                <w:lang w:eastAsia="en-GB"/>
              </w:rPr>
              <w:t>Dilution Method (Hydrometry)</w:t>
            </w:r>
          </w:p>
        </w:tc>
        <w:tc>
          <w:tcPr>
            <w:tcW w:w="3543" w:type="dxa"/>
            <w:tcBorders>
              <w:top w:val="nil"/>
              <w:left w:val="single" w:sz="6" w:space="0" w:color="000000"/>
              <w:bottom w:val="single" w:sz="6" w:space="0" w:color="000000"/>
              <w:right w:val="nil"/>
            </w:tcBorders>
            <w:shd w:fill="auto" w:val="clear"/>
          </w:tcPr>
          <w:p>
            <w:pPr>
              <w:pStyle w:val="Normal"/>
              <w:bidi w:val="0"/>
              <w:ind w:hanging="0"/>
              <w:jc w:val="left"/>
              <w:textAlignment w:val="baseline"/>
              <w:rPr/>
            </w:pPr>
            <w:r>
              <w:rPr>
                <w:rFonts w:eastAsia="Times New Roman" w:cs="Calibri" w:cstheme="minorHAnsi"/>
                <w:color w:val="000000" w:themeColor="text1"/>
                <w:sz w:val="22"/>
                <w:szCs w:val="22"/>
                <w:lang w:eastAsia="en-GB"/>
              </w:rPr>
              <w:t>Accurate</w:t>
            </w:r>
          </w:p>
          <w:p>
            <w:pPr>
              <w:pStyle w:val="Normal"/>
              <w:bidi w:val="0"/>
              <w:ind w:hanging="0"/>
              <w:jc w:val="left"/>
              <w:textAlignment w:val="baseline"/>
              <w:rPr>
                <w:rFonts w:eastAsia="Times New Roman" w:cs="Calibri" w:cstheme="minorHAnsi"/>
                <w:color w:val="000000" w:themeColor="text1"/>
                <w:sz w:val="22"/>
                <w:szCs w:val="22"/>
                <w:lang w:eastAsia="en-GB"/>
              </w:rPr>
            </w:pPr>
            <w:r>
              <w:rPr>
                <w:rFonts w:eastAsia="Times New Roman" w:cs="Calibri" w:cstheme="minorHAnsi"/>
                <w:color w:val="000000" w:themeColor="text1"/>
                <w:sz w:val="22"/>
                <w:szCs w:val="22"/>
                <w:lang w:eastAsia="en-GB"/>
              </w:rPr>
            </w:r>
          </w:p>
          <w:p>
            <w:pPr>
              <w:pStyle w:val="Normal"/>
              <w:bidi w:val="0"/>
              <w:ind w:hanging="0"/>
              <w:jc w:val="left"/>
              <w:textAlignment w:val="baseline"/>
              <w:rPr/>
            </w:pPr>
            <w:r>
              <w:rPr>
                <w:rFonts w:eastAsia="Times New Roman" w:cs="Calibri" w:cstheme="minorHAnsi"/>
                <w:color w:val="000000" w:themeColor="text1"/>
                <w:sz w:val="22"/>
                <w:szCs w:val="22"/>
                <w:lang w:eastAsia="en-GB"/>
              </w:rPr>
              <w:t>Low cost</w:t>
            </w:r>
          </w:p>
          <w:p>
            <w:pPr>
              <w:pStyle w:val="Normal"/>
              <w:bidi w:val="0"/>
              <w:ind w:hanging="0"/>
              <w:jc w:val="left"/>
              <w:textAlignment w:val="baseline"/>
              <w:rPr>
                <w:rFonts w:eastAsia="Times New Roman" w:cs="Calibri" w:cstheme="minorHAnsi"/>
                <w:color w:val="000000" w:themeColor="text1"/>
                <w:sz w:val="22"/>
                <w:szCs w:val="22"/>
                <w:lang w:eastAsia="en-GB"/>
              </w:rPr>
            </w:pPr>
            <w:r>
              <w:rPr>
                <w:rFonts w:eastAsia="Times New Roman" w:cs="Calibri" w:cstheme="minorHAnsi"/>
                <w:color w:val="000000" w:themeColor="text1"/>
                <w:sz w:val="22"/>
                <w:szCs w:val="22"/>
                <w:lang w:eastAsia="en-GB"/>
              </w:rPr>
            </w:r>
          </w:p>
          <w:p>
            <w:pPr>
              <w:pStyle w:val="Normal"/>
              <w:bidi w:val="0"/>
              <w:ind w:hanging="0"/>
              <w:jc w:val="left"/>
              <w:textAlignment w:val="baseline"/>
              <w:rPr/>
            </w:pPr>
            <w:r>
              <w:rPr>
                <w:rFonts w:eastAsia="Times New Roman" w:cs="Calibri" w:cstheme="minorHAnsi"/>
                <w:color w:val="000000" w:themeColor="text1"/>
                <w:sz w:val="22"/>
                <w:szCs w:val="22"/>
                <w:lang w:eastAsia="en-GB"/>
              </w:rPr>
              <w:t>Suitable for individuals with a BMI &gt; 35 as well as children and pregnant women</w:t>
            </w:r>
          </w:p>
        </w:tc>
        <w:tc>
          <w:tcPr>
            <w:tcW w:w="3629" w:type="dxa"/>
            <w:tcBorders>
              <w:top w:val="nil"/>
              <w:left w:val="single" w:sz="6" w:space="0" w:color="000000"/>
              <w:bottom w:val="single" w:sz="6" w:space="0" w:color="000000"/>
              <w:right w:val="single" w:sz="6" w:space="0" w:color="000000"/>
            </w:tcBorders>
            <w:shd w:fill="auto" w:val="clear"/>
          </w:tcPr>
          <w:p>
            <w:pPr>
              <w:pStyle w:val="Normal"/>
              <w:bidi w:val="0"/>
              <w:ind w:hanging="0"/>
              <w:jc w:val="left"/>
              <w:textAlignment w:val="baseline"/>
              <w:rPr/>
            </w:pPr>
            <w:r>
              <w:rPr>
                <w:rFonts w:eastAsia="Times New Roman" w:cs="Calibri" w:cstheme="minorHAnsi"/>
                <w:color w:val="000000" w:themeColor="text1"/>
                <w:sz w:val="22"/>
                <w:szCs w:val="22"/>
                <w:lang w:eastAsia="en-GB"/>
              </w:rPr>
              <w:t>The ratio of body water to fat-free mass may change during illness</w:t>
            </w:r>
          </w:p>
        </w:tc>
      </w:tr>
      <w:tr>
        <w:trPr/>
        <w:tc>
          <w:tcPr>
            <w:tcW w:w="1838" w:type="dxa"/>
            <w:tcBorders>
              <w:top w:val="nil"/>
              <w:left w:val="single" w:sz="6" w:space="0" w:color="000000"/>
              <w:bottom w:val="single" w:sz="6" w:space="0" w:color="000000"/>
              <w:right w:val="nil"/>
            </w:tcBorders>
            <w:shd w:fill="auto" w:val="clear"/>
          </w:tcPr>
          <w:p>
            <w:pPr>
              <w:pStyle w:val="Normal"/>
              <w:bidi w:val="0"/>
              <w:ind w:hanging="0"/>
              <w:jc w:val="left"/>
              <w:textAlignment w:val="baseline"/>
              <w:rPr/>
            </w:pPr>
            <w:r>
              <w:rPr>
                <w:rFonts w:eastAsia="Times New Roman" w:cs="Calibri" w:cstheme="minorHAnsi"/>
                <w:color w:val="000000" w:themeColor="text1"/>
                <w:sz w:val="22"/>
                <w:szCs w:val="22"/>
                <w:lang w:eastAsia="en-GB"/>
              </w:rPr>
              <w:t>Dual Energy X-ray Absorptiometry (DEXA)</w:t>
            </w:r>
          </w:p>
        </w:tc>
        <w:tc>
          <w:tcPr>
            <w:tcW w:w="3543" w:type="dxa"/>
            <w:tcBorders>
              <w:top w:val="nil"/>
              <w:left w:val="single" w:sz="6" w:space="0" w:color="000000"/>
              <w:bottom w:val="single" w:sz="6" w:space="0" w:color="000000"/>
              <w:right w:val="nil"/>
            </w:tcBorders>
            <w:shd w:fill="auto" w:val="clear"/>
          </w:tcPr>
          <w:p>
            <w:pPr>
              <w:pStyle w:val="Normal"/>
              <w:bidi w:val="0"/>
              <w:ind w:hanging="0"/>
              <w:jc w:val="left"/>
              <w:textAlignment w:val="baseline"/>
              <w:rPr/>
            </w:pPr>
            <w:r>
              <w:rPr>
                <w:rFonts w:eastAsia="Times New Roman" w:cs="Calibri" w:cstheme="minorHAnsi"/>
                <w:color w:val="000000" w:themeColor="text1"/>
                <w:sz w:val="22"/>
                <w:szCs w:val="22"/>
                <w:lang w:eastAsia="en-GB"/>
              </w:rPr>
              <w:t>Accurate</w:t>
            </w:r>
          </w:p>
        </w:tc>
        <w:tc>
          <w:tcPr>
            <w:tcW w:w="3629" w:type="dxa"/>
            <w:tcBorders>
              <w:top w:val="nil"/>
              <w:left w:val="single" w:sz="6" w:space="0" w:color="000000"/>
              <w:bottom w:val="single" w:sz="6" w:space="0" w:color="000000"/>
              <w:right w:val="single" w:sz="6" w:space="0" w:color="000000"/>
            </w:tcBorders>
            <w:shd w:fill="auto" w:val="clear"/>
          </w:tcPr>
          <w:p>
            <w:pPr>
              <w:pStyle w:val="Normal"/>
              <w:bidi w:val="0"/>
              <w:ind w:hanging="0"/>
              <w:jc w:val="left"/>
              <w:textAlignment w:val="baseline"/>
              <w:rPr/>
            </w:pPr>
            <w:r>
              <w:rPr>
                <w:rFonts w:eastAsia="Times New Roman" w:cs="Calibri" w:cstheme="minorHAnsi"/>
                <w:color w:val="000000" w:themeColor="text1"/>
                <w:sz w:val="22"/>
                <w:szCs w:val="22"/>
                <w:lang w:eastAsia="en-GB"/>
              </w:rPr>
              <w:t>Expensive</w:t>
            </w:r>
          </w:p>
          <w:p>
            <w:pPr>
              <w:pStyle w:val="Normal"/>
              <w:bidi w:val="0"/>
              <w:ind w:hanging="0"/>
              <w:jc w:val="left"/>
              <w:textAlignment w:val="baseline"/>
              <w:rPr>
                <w:rFonts w:eastAsia="Times New Roman" w:cs="Calibri" w:cstheme="minorHAnsi"/>
                <w:color w:val="000000" w:themeColor="text1"/>
                <w:sz w:val="22"/>
                <w:szCs w:val="22"/>
                <w:lang w:eastAsia="en-GB"/>
              </w:rPr>
            </w:pPr>
            <w:r>
              <w:rPr>
                <w:rFonts w:eastAsia="Times New Roman" w:cs="Calibri" w:cstheme="minorHAnsi"/>
                <w:color w:val="000000" w:themeColor="text1"/>
                <w:sz w:val="22"/>
                <w:szCs w:val="22"/>
                <w:lang w:eastAsia="en-GB"/>
              </w:rPr>
            </w:r>
          </w:p>
          <w:p>
            <w:pPr>
              <w:pStyle w:val="Normal"/>
              <w:bidi w:val="0"/>
              <w:ind w:hanging="0"/>
              <w:jc w:val="left"/>
              <w:textAlignment w:val="baseline"/>
              <w:rPr/>
            </w:pPr>
            <w:r>
              <w:rPr>
                <w:rFonts w:eastAsia="Times New Roman" w:cs="Calibri" w:cstheme="minorHAnsi"/>
                <w:color w:val="000000" w:themeColor="text1"/>
                <w:sz w:val="22"/>
                <w:szCs w:val="22"/>
                <w:lang w:eastAsia="en-GB"/>
              </w:rPr>
              <w:t>Cannot distinguish between subcutaneous and visceral fat</w:t>
            </w:r>
          </w:p>
          <w:p>
            <w:pPr>
              <w:pStyle w:val="Normal"/>
              <w:bidi w:val="0"/>
              <w:ind w:hanging="0"/>
              <w:jc w:val="left"/>
              <w:textAlignment w:val="baseline"/>
              <w:rPr>
                <w:rFonts w:eastAsia="Times New Roman" w:cs="Calibri" w:cstheme="minorHAnsi"/>
                <w:color w:val="000000" w:themeColor="text1"/>
                <w:sz w:val="22"/>
                <w:szCs w:val="22"/>
                <w:lang w:eastAsia="en-GB"/>
              </w:rPr>
            </w:pPr>
            <w:r>
              <w:rPr>
                <w:rFonts w:eastAsia="Times New Roman" w:cs="Calibri" w:cstheme="minorHAnsi"/>
                <w:color w:val="000000" w:themeColor="text1"/>
                <w:sz w:val="22"/>
                <w:szCs w:val="22"/>
                <w:lang w:eastAsia="en-GB"/>
              </w:rPr>
            </w:r>
          </w:p>
          <w:p>
            <w:pPr>
              <w:pStyle w:val="Normal"/>
              <w:bidi w:val="0"/>
              <w:ind w:hanging="0"/>
              <w:jc w:val="left"/>
              <w:textAlignment w:val="baseline"/>
              <w:rPr/>
            </w:pPr>
            <w:r>
              <w:rPr>
                <w:rFonts w:eastAsia="Times New Roman" w:cs="Calibri" w:cstheme="minorHAnsi"/>
                <w:color w:val="000000" w:themeColor="text1"/>
                <w:sz w:val="22"/>
                <w:szCs w:val="22"/>
                <w:lang w:eastAsia="en-GB"/>
              </w:rPr>
              <w:t>Exposes individuals to a low dose of radiation</w:t>
            </w:r>
          </w:p>
        </w:tc>
      </w:tr>
      <w:tr>
        <w:trPr/>
        <w:tc>
          <w:tcPr>
            <w:tcW w:w="1838" w:type="dxa"/>
            <w:tcBorders>
              <w:top w:val="nil"/>
              <w:left w:val="single" w:sz="6" w:space="0" w:color="000000"/>
              <w:bottom w:val="single" w:sz="6" w:space="0" w:color="000000"/>
              <w:right w:val="nil"/>
            </w:tcBorders>
            <w:shd w:fill="auto" w:val="clear"/>
          </w:tcPr>
          <w:p>
            <w:pPr>
              <w:pStyle w:val="Normal"/>
              <w:bidi w:val="0"/>
              <w:ind w:hanging="0"/>
              <w:jc w:val="left"/>
              <w:textAlignment w:val="baseline"/>
              <w:rPr/>
            </w:pPr>
            <w:r>
              <w:rPr>
                <w:rFonts w:eastAsia="Times New Roman" w:cs="Calibri" w:cstheme="minorHAnsi"/>
                <w:color w:val="000000" w:themeColor="text1"/>
                <w:sz w:val="22"/>
                <w:szCs w:val="22"/>
                <w:lang w:eastAsia="en-GB"/>
              </w:rPr>
              <w:t>CT and MRI Scans</w:t>
            </w:r>
          </w:p>
        </w:tc>
        <w:tc>
          <w:tcPr>
            <w:tcW w:w="3543" w:type="dxa"/>
            <w:tcBorders>
              <w:top w:val="nil"/>
              <w:left w:val="single" w:sz="6" w:space="0" w:color="000000"/>
              <w:bottom w:val="single" w:sz="6" w:space="0" w:color="000000"/>
              <w:right w:val="nil"/>
            </w:tcBorders>
            <w:shd w:fill="auto" w:val="clear"/>
          </w:tcPr>
          <w:p>
            <w:pPr>
              <w:pStyle w:val="Normal"/>
              <w:bidi w:val="0"/>
              <w:ind w:hanging="0"/>
              <w:jc w:val="left"/>
              <w:textAlignment w:val="baseline"/>
              <w:rPr/>
            </w:pPr>
            <w:r>
              <w:rPr>
                <w:rFonts w:eastAsia="Times New Roman" w:cs="Calibri" w:cstheme="minorHAnsi"/>
                <w:color w:val="000000" w:themeColor="text1"/>
                <w:sz w:val="22"/>
                <w:szCs w:val="22"/>
                <w:lang w:eastAsia="en-GB"/>
              </w:rPr>
              <w:t>The most accurate method to measure fat and fat-free mass</w:t>
            </w:r>
          </w:p>
        </w:tc>
        <w:tc>
          <w:tcPr>
            <w:tcW w:w="3629" w:type="dxa"/>
            <w:tcBorders>
              <w:top w:val="nil"/>
              <w:left w:val="single" w:sz="6" w:space="0" w:color="000000"/>
              <w:bottom w:val="single" w:sz="6" w:space="0" w:color="000000"/>
              <w:right w:val="single" w:sz="6" w:space="0" w:color="000000"/>
            </w:tcBorders>
            <w:shd w:fill="auto" w:val="clear"/>
          </w:tcPr>
          <w:p>
            <w:pPr>
              <w:pStyle w:val="Normal"/>
              <w:bidi w:val="0"/>
              <w:ind w:hanging="0"/>
              <w:jc w:val="left"/>
              <w:textAlignment w:val="baseline"/>
              <w:rPr/>
            </w:pPr>
            <w:r>
              <w:rPr>
                <w:rFonts w:eastAsia="Times New Roman" w:cs="Calibri" w:cstheme="minorHAnsi"/>
                <w:color w:val="000000" w:themeColor="text1"/>
                <w:sz w:val="22"/>
                <w:szCs w:val="22"/>
                <w:lang w:eastAsia="en-GB"/>
              </w:rPr>
              <w:t>Expensive</w:t>
            </w:r>
          </w:p>
          <w:p>
            <w:pPr>
              <w:pStyle w:val="Normal"/>
              <w:bidi w:val="0"/>
              <w:ind w:hanging="0"/>
              <w:jc w:val="left"/>
              <w:textAlignment w:val="baseline"/>
              <w:rPr>
                <w:rFonts w:eastAsia="Times New Roman" w:cs="Calibri" w:cstheme="minorHAnsi"/>
                <w:color w:val="000000" w:themeColor="text1"/>
                <w:sz w:val="22"/>
                <w:szCs w:val="22"/>
                <w:lang w:eastAsia="en-GB"/>
              </w:rPr>
            </w:pPr>
            <w:r>
              <w:rPr>
                <w:rFonts w:eastAsia="Times New Roman" w:cs="Calibri" w:cstheme="minorHAnsi"/>
                <w:color w:val="000000" w:themeColor="text1"/>
                <w:sz w:val="22"/>
                <w:szCs w:val="22"/>
                <w:lang w:eastAsia="en-GB"/>
              </w:rPr>
            </w:r>
          </w:p>
          <w:p>
            <w:pPr>
              <w:pStyle w:val="Normal"/>
              <w:bidi w:val="0"/>
              <w:ind w:hanging="0"/>
              <w:jc w:val="left"/>
              <w:textAlignment w:val="baseline"/>
              <w:rPr/>
            </w:pPr>
            <w:r>
              <w:rPr>
                <w:rFonts w:eastAsia="Times New Roman" w:cs="Calibri" w:cstheme="minorHAnsi"/>
                <w:color w:val="000000" w:themeColor="text1"/>
                <w:sz w:val="22"/>
                <w:szCs w:val="22"/>
                <w:lang w:eastAsia="en-GB"/>
              </w:rPr>
              <w:t>CT scanners administer ionising radiation</w:t>
            </w:r>
          </w:p>
        </w:tc>
      </w:tr>
    </w:tbl>
    <w:p>
      <w:pPr>
        <w:pStyle w:val="Normal"/>
        <w:bidi w:val="0"/>
        <w:ind w:hanging="0"/>
        <w:jc w:val="left"/>
        <w:textAlignment w:val="baseline"/>
        <w:rPr>
          <w:rFonts w:eastAsia="Times New Roman" w:cs="Calibri" w:cstheme="minorHAnsi"/>
          <w:color w:val="000000" w:themeColor="text1"/>
          <w:sz w:val="22"/>
          <w:szCs w:val="22"/>
          <w:lang w:eastAsia="en-GB"/>
        </w:rPr>
      </w:pPr>
      <w:r>
        <w:rPr>
          <w:rFonts w:eastAsia="Times New Roman" w:cs="Calibri" w:cstheme="minorHAnsi"/>
          <w:color w:val="000000" w:themeColor="text1"/>
          <w:sz w:val="22"/>
          <w:szCs w:val="22"/>
          <w:lang w:eastAsia="en-GB"/>
        </w:rPr>
      </w:r>
    </w:p>
    <w:p>
      <w:pPr>
        <w:pStyle w:val="Normal"/>
        <w:bidi w:val="0"/>
        <w:ind w:hanging="0"/>
        <w:jc w:val="left"/>
        <w:textAlignment w:val="baseline"/>
        <w:rPr/>
      </w:pPr>
      <w:r>
        <w:rPr>
          <w:rFonts w:eastAsia="Times New Roman" w:cs="Calibri" w:cstheme="minorHAnsi"/>
          <w:i/>
          <w:iCs/>
          <w:color w:val="000000" w:themeColor="text1"/>
          <w:sz w:val="22"/>
          <w:szCs w:val="22"/>
          <w:lang w:eastAsia="en-GB"/>
        </w:rPr>
        <w:t>Adapted from Duren et. al. (2), Wells &amp; Fewtrell (3), Harvard Medical School (4), NHS (5), Harvard T.H. Chan School of Public Health (6), Van Dijk et. al. (7), Swainson et. al. (8)</w:t>
      </w:r>
    </w:p>
    <w:p>
      <w:pPr>
        <w:pStyle w:val="Normal"/>
        <w:bidi w:val="0"/>
        <w:ind w:hanging="0"/>
        <w:jc w:val="left"/>
        <w:textAlignment w:val="baseline"/>
        <w:rPr>
          <w:rFonts w:eastAsia="Times New Roman" w:cs="Calibri" w:cstheme="minorHAnsi"/>
          <w:i/>
          <w:i/>
          <w:iCs/>
          <w:color w:val="000000" w:themeColor="text1"/>
          <w:sz w:val="22"/>
          <w:szCs w:val="22"/>
          <w:lang w:eastAsia="en-GB"/>
        </w:rPr>
      </w:pPr>
      <w:r>
        <w:rPr>
          <w:rFonts w:eastAsia="Times New Roman" w:cs="Calibri" w:cstheme="minorHAnsi"/>
          <w:i/>
          <w:iCs/>
          <w:color w:val="000000" w:themeColor="text1"/>
          <w:sz w:val="22"/>
          <w:szCs w:val="22"/>
          <w:lang w:eastAsia="en-GB"/>
        </w:rPr>
      </w:r>
    </w:p>
    <w:p>
      <w:pPr>
        <w:pStyle w:val="Normal"/>
        <w:bidi w:val="0"/>
        <w:ind w:hanging="0"/>
        <w:jc w:val="left"/>
        <w:textAlignment w:val="baseline"/>
        <w:rPr>
          <w:rFonts w:eastAsia="Times New Roman" w:cs="Calibri" w:cstheme="minorHAnsi"/>
          <w:color w:val="000000" w:themeColor="text1"/>
          <w:sz w:val="22"/>
          <w:szCs w:val="22"/>
          <w:lang w:eastAsia="en-GB"/>
        </w:rPr>
      </w:pPr>
      <w:r>
        <w:rPr>
          <w:rFonts w:eastAsia="Times New Roman" w:cs="Calibri" w:cstheme="minorHAnsi"/>
          <w:color w:val="000000" w:themeColor="text1"/>
          <w:sz w:val="22"/>
          <w:szCs w:val="22"/>
          <w:lang w:eastAsia="en-GB"/>
        </w:rPr>
      </w:r>
    </w:p>
    <w:p>
      <w:pPr>
        <w:pStyle w:val="Normal"/>
        <w:bidi w:val="0"/>
        <w:ind w:hanging="0"/>
        <w:jc w:val="left"/>
        <w:textAlignment w:val="baseline"/>
        <w:rPr/>
      </w:pPr>
      <w:r>
        <w:rPr>
          <w:rFonts w:eastAsia="Times New Roman" w:cs="Calibri" w:cstheme="minorHAnsi"/>
          <w:color w:val="000000" w:themeColor="text1"/>
          <w:sz w:val="22"/>
          <w:szCs w:val="22"/>
          <w:lang w:eastAsia="en-GB"/>
        </w:rPr>
        <w:t>BMI is an effective tool for population-based screening due to its straightforward interpretation, ease of application and its proven correlation with higher all-cause mortality, highlighted by a meta-analysis of 239 prospective studies across four continents (1). However, BMI is limited as it fails to account for different body fat distributions, such as visceral adiposity, which is associated with an increased mortality risk.</w:t>
      </w:r>
    </w:p>
    <w:p>
      <w:pPr>
        <w:pStyle w:val="Normal"/>
        <w:bidi w:val="0"/>
        <w:ind w:hanging="0"/>
        <w:jc w:val="left"/>
        <w:textAlignment w:val="baseline"/>
        <w:rPr>
          <w:rFonts w:eastAsia="Times New Roman" w:cs="Calibri" w:cstheme="minorHAnsi"/>
          <w:color w:val="000000" w:themeColor="text1"/>
          <w:sz w:val="22"/>
          <w:szCs w:val="22"/>
          <w:lang w:eastAsia="en-GB"/>
        </w:rPr>
      </w:pPr>
      <w:r>
        <w:rPr>
          <w:rFonts w:eastAsia="Times New Roman" w:cs="Calibri" w:cstheme="minorHAnsi"/>
          <w:color w:val="000000" w:themeColor="text1"/>
          <w:sz w:val="22"/>
          <w:szCs w:val="22"/>
          <w:lang w:eastAsia="en-GB"/>
        </w:rPr>
      </w:r>
    </w:p>
    <w:p>
      <w:pPr>
        <w:pStyle w:val="Normal"/>
        <w:bidi w:val="0"/>
        <w:ind w:hanging="0"/>
        <w:jc w:val="left"/>
        <w:textAlignment w:val="baseline"/>
        <w:rPr/>
      </w:pPr>
      <w:r>
        <w:rPr>
          <w:rFonts w:eastAsia="Times New Roman" w:cs="Calibri" w:cstheme="minorHAnsi"/>
          <w:color w:val="000000" w:themeColor="text1"/>
          <w:sz w:val="22"/>
          <w:szCs w:val="22"/>
          <w:lang w:eastAsia="en-GB"/>
        </w:rPr>
        <w:t>A meta-analysis investigating the correlation between BMI, waist circumference, waist-to-hip ratio, waist-to-height ratio, body fat percentage and cardiovascular disease risk factors found that waist circumference had the strongest correlation (7).</w:t>
      </w:r>
    </w:p>
    <w:p>
      <w:pPr>
        <w:pStyle w:val="Normal"/>
        <w:bidi w:val="0"/>
        <w:ind w:hanging="0"/>
        <w:jc w:val="left"/>
        <w:textAlignment w:val="baseline"/>
        <w:rPr>
          <w:rFonts w:eastAsia="Times New Roman" w:cs="Calibri" w:cstheme="minorHAnsi"/>
          <w:color w:val="000000" w:themeColor="text1"/>
          <w:sz w:val="22"/>
          <w:szCs w:val="22"/>
          <w:lang w:eastAsia="en-GB"/>
        </w:rPr>
      </w:pPr>
      <w:r>
        <w:rPr>
          <w:rFonts w:eastAsia="Times New Roman" w:cs="Calibri" w:cstheme="minorHAnsi"/>
          <w:color w:val="000000" w:themeColor="text1"/>
          <w:sz w:val="22"/>
          <w:szCs w:val="22"/>
          <w:lang w:eastAsia="en-GB"/>
        </w:rPr>
      </w:r>
    </w:p>
    <w:p>
      <w:pPr>
        <w:pStyle w:val="Normal"/>
        <w:bidi w:val="0"/>
        <w:ind w:hanging="0"/>
        <w:jc w:val="left"/>
        <w:textAlignment w:val="baseline"/>
        <w:rPr/>
      </w:pPr>
      <w:r>
        <w:rPr>
          <w:rFonts w:eastAsia="Times New Roman" w:cs="Calibri" w:cstheme="minorHAnsi"/>
          <w:color w:val="000000" w:themeColor="text1"/>
          <w:sz w:val="22"/>
          <w:szCs w:val="22"/>
          <w:lang w:eastAsia="en-GB"/>
        </w:rPr>
        <w:t>In addition, a study of 81 adults compared BMI, waist circumference, waist-to-hip ratio, waist-to-height ratio and waist/height</w:t>
      </w:r>
      <w:r>
        <w:rPr>
          <w:rFonts w:eastAsia="Times New Roman" w:cs="Calibri" w:cstheme="minorHAnsi"/>
          <w:color w:val="000000" w:themeColor="text1"/>
          <w:sz w:val="22"/>
          <w:szCs w:val="22"/>
          <w:vertAlign w:val="superscript"/>
          <w:lang w:eastAsia="en-GB"/>
        </w:rPr>
        <w:t>0.5</w:t>
      </w:r>
      <w:r>
        <w:rPr>
          <w:rFonts w:eastAsia="Times New Roman" w:cs="Calibri" w:cstheme="minorHAnsi"/>
          <w:color w:val="000000" w:themeColor="text1"/>
          <w:sz w:val="22"/>
          <w:szCs w:val="22"/>
          <w:lang w:eastAsia="en-GB"/>
        </w:rPr>
        <w:t xml:space="preserve"> against body fat percentage and visceral fat obtained from dual energy X-ray absorptiometry (8). Waist-to-height ratio was found to be the best predictor of both body fat percentage and visceral fat. Waist-to-height ratio was also found to be the best predictor of metabolic syndrome, when compared against BMI and waist circumference in a Chinese population.</w:t>
      </w:r>
    </w:p>
    <w:p>
      <w:pPr>
        <w:pStyle w:val="Normal"/>
        <w:bidi w:val="0"/>
        <w:ind w:hanging="0"/>
        <w:jc w:val="left"/>
        <w:textAlignment w:val="baseline"/>
        <w:rPr>
          <w:rFonts w:eastAsia="Times New Roman" w:cs="Calibri" w:cstheme="minorHAnsi"/>
          <w:color w:val="000000" w:themeColor="text1"/>
          <w:sz w:val="22"/>
          <w:szCs w:val="22"/>
          <w:lang w:eastAsia="en-GB"/>
        </w:rPr>
      </w:pPr>
      <w:r>
        <w:rPr/>
      </w:r>
    </w:p>
    <w:p>
      <w:pPr>
        <w:pStyle w:val="ListParagraph"/>
        <w:numPr>
          <w:ilvl w:val="0"/>
          <w:numId w:val="1"/>
        </w:numPr>
        <w:bidi w:val="0"/>
        <w:jc w:val="left"/>
        <w:textAlignment w:val="baseline"/>
        <w:rPr/>
      </w:pPr>
      <w:r>
        <w:rPr>
          <w:rFonts w:eastAsia="Times New Roman" w:cs="Calibri" w:cstheme="minorHAnsi"/>
          <w:color w:val="000000" w:themeColor="text1"/>
          <w:sz w:val="22"/>
          <w:szCs w:val="22"/>
          <w:lang w:eastAsia="en-GB"/>
        </w:rPr>
        <w:t xml:space="preserve">The Global BMI Mortality Collaboration.  2016.  Body-Mass Index and All-Cause Mortality: Individual-Participant-Data Meta-Analysis of 239 Prospective Studies in Four Continents.  </w:t>
      </w:r>
      <w:r>
        <w:rPr>
          <w:rFonts w:eastAsia="Times New Roman" w:cs="Calibri" w:cstheme="minorHAnsi"/>
          <w:i/>
          <w:iCs/>
          <w:color w:val="000000" w:themeColor="text1"/>
          <w:sz w:val="22"/>
          <w:szCs w:val="22"/>
          <w:lang w:eastAsia="en-GB"/>
        </w:rPr>
        <w:t xml:space="preserve">The Lancet.  </w:t>
      </w:r>
      <w:r>
        <w:rPr>
          <w:rFonts w:eastAsia="Times New Roman" w:cs="Calibri" w:cstheme="minorHAnsi"/>
          <w:color w:val="000000" w:themeColor="text1"/>
          <w:sz w:val="22"/>
          <w:szCs w:val="22"/>
          <w:lang w:eastAsia="en-GB"/>
        </w:rPr>
        <w:t xml:space="preserve">388.  pp.776-786.  </w:t>
      </w:r>
      <w:hyperlink r:id="rId2">
        <w:r>
          <w:rPr>
            <w:rStyle w:val="InternetLink"/>
            <w:rFonts w:eastAsia="Times New Roman" w:cs="Calibri" w:cstheme="minorHAnsi"/>
            <w:color w:val="000000" w:themeColor="text1"/>
            <w:sz w:val="22"/>
            <w:szCs w:val="22"/>
            <w:lang w:eastAsia="en-GB"/>
          </w:rPr>
          <w:t>https://www.ncbi.nlm.nih.gov/pubmed/27423262</w:t>
        </w:r>
      </w:hyperlink>
      <w:r>
        <w:rPr>
          <w:rFonts w:eastAsia="Times New Roman" w:cs="Calibri" w:cstheme="minorHAnsi"/>
          <w:color w:val="000000" w:themeColor="text1"/>
          <w:sz w:val="22"/>
          <w:szCs w:val="22"/>
          <w:lang w:eastAsia="en-GB"/>
        </w:rPr>
        <w:t xml:space="preserve"> </w:t>
      </w:r>
    </w:p>
    <w:p>
      <w:pPr>
        <w:pStyle w:val="Normal"/>
        <w:bidi w:val="0"/>
        <w:jc w:val="left"/>
        <w:textAlignment w:val="baseline"/>
        <w:rPr>
          <w:rFonts w:eastAsia="Times New Roman" w:cs="Calibri" w:cstheme="minorHAnsi"/>
          <w:color w:val="000000" w:themeColor="text1"/>
          <w:sz w:val="22"/>
          <w:szCs w:val="22"/>
          <w:lang w:eastAsia="en-GB"/>
        </w:rPr>
      </w:pPr>
      <w:r>
        <w:rPr>
          <w:rFonts w:eastAsia="Times New Roman" w:cs="Calibri" w:cstheme="minorHAnsi"/>
          <w:color w:val="000000" w:themeColor="text1"/>
          <w:sz w:val="22"/>
          <w:szCs w:val="22"/>
          <w:lang w:eastAsia="en-GB"/>
        </w:rPr>
      </w:r>
    </w:p>
    <w:p>
      <w:pPr>
        <w:pStyle w:val="ListParagraph"/>
        <w:numPr>
          <w:ilvl w:val="0"/>
          <w:numId w:val="1"/>
        </w:numPr>
        <w:bidi w:val="0"/>
        <w:jc w:val="left"/>
        <w:textAlignment w:val="baseline"/>
        <w:rPr/>
      </w:pPr>
      <w:r>
        <w:rPr>
          <w:rFonts w:eastAsia="Times New Roman" w:cs="Calibri" w:cstheme="minorHAnsi"/>
          <w:color w:val="000000" w:themeColor="text1"/>
          <w:sz w:val="22"/>
          <w:szCs w:val="22"/>
          <w:lang w:eastAsia="en-GB"/>
        </w:rPr>
        <w:t xml:space="preserve">Duren, D.L., Sherwood, R.J., Czerwinski, S.A., Lee, M., Choh, A.C., Siervogel, R.M. &amp; Chumlea, W.C.  2008.  Body Composition Methods: Comparisons and Interpretation.  </w:t>
      </w:r>
      <w:r>
        <w:rPr>
          <w:rFonts w:eastAsia="Times New Roman" w:cs="Calibri" w:cstheme="minorHAnsi"/>
          <w:i/>
          <w:iCs/>
          <w:color w:val="000000" w:themeColor="text1"/>
          <w:sz w:val="22"/>
          <w:szCs w:val="22"/>
          <w:lang w:eastAsia="en-GB"/>
        </w:rPr>
        <w:t xml:space="preserve">Journal of Diabetes Science and Technology.  </w:t>
      </w:r>
      <w:r>
        <w:rPr>
          <w:rFonts w:eastAsia="Times New Roman" w:cs="Calibri" w:cstheme="minorHAnsi"/>
          <w:color w:val="000000" w:themeColor="text1"/>
          <w:sz w:val="22"/>
          <w:szCs w:val="22"/>
          <w:lang w:eastAsia="en-GB"/>
        </w:rPr>
        <w:t xml:space="preserve">2(6).  pp.1139-1146.  </w:t>
      </w:r>
      <w:hyperlink r:id="rId3">
        <w:r>
          <w:rPr>
            <w:rStyle w:val="InternetLink"/>
            <w:rFonts w:eastAsia="Times New Roman" w:cs="Calibri" w:cstheme="minorHAnsi"/>
            <w:color w:val="000000" w:themeColor="text1"/>
            <w:sz w:val="22"/>
            <w:szCs w:val="22"/>
            <w:lang w:eastAsia="en-GB"/>
          </w:rPr>
          <w:t>https://www.ncbi.nlm.nih.gov/pmc/articles/PMC2769821/</w:t>
        </w:r>
      </w:hyperlink>
      <w:r>
        <w:rPr>
          <w:rFonts w:eastAsia="Times New Roman" w:cs="Calibri" w:cstheme="minorHAnsi"/>
          <w:color w:val="000000" w:themeColor="text1"/>
          <w:sz w:val="22"/>
          <w:szCs w:val="22"/>
          <w:lang w:eastAsia="en-GB"/>
        </w:rPr>
        <w:t xml:space="preserve"> </w:t>
      </w:r>
    </w:p>
    <w:p>
      <w:pPr>
        <w:pStyle w:val="ListParagraph"/>
        <w:bidi w:val="0"/>
        <w:ind w:left="720" w:hanging="0"/>
        <w:jc w:val="left"/>
        <w:textAlignment w:val="baseline"/>
        <w:rPr>
          <w:rFonts w:eastAsia="Times New Roman" w:cs="Calibri" w:cstheme="minorHAnsi"/>
          <w:color w:val="000000" w:themeColor="text1"/>
          <w:sz w:val="22"/>
          <w:szCs w:val="22"/>
          <w:lang w:eastAsia="en-GB"/>
        </w:rPr>
      </w:pPr>
      <w:r>
        <w:rPr>
          <w:rFonts w:eastAsia="Times New Roman" w:cs="Calibri" w:cstheme="minorHAnsi"/>
          <w:color w:val="000000" w:themeColor="text1"/>
          <w:sz w:val="22"/>
          <w:szCs w:val="22"/>
          <w:lang w:eastAsia="en-GB"/>
        </w:rPr>
      </w:r>
    </w:p>
    <w:p>
      <w:pPr>
        <w:pStyle w:val="ListParagraph"/>
        <w:numPr>
          <w:ilvl w:val="0"/>
          <w:numId w:val="1"/>
        </w:numPr>
        <w:bidi w:val="0"/>
        <w:jc w:val="left"/>
        <w:textAlignment w:val="baseline"/>
        <w:rPr/>
      </w:pPr>
      <w:r>
        <w:rPr>
          <w:rFonts w:eastAsia="Times New Roman" w:cs="Calibri" w:cstheme="minorHAnsi"/>
          <w:color w:val="000000" w:themeColor="text1"/>
          <w:sz w:val="22"/>
          <w:szCs w:val="22"/>
          <w:lang w:eastAsia="en-GB"/>
        </w:rPr>
        <w:t xml:space="preserve">Wells, J.C.K. &amp; Fewtrell, M.S.  2006.  Measuring Body Composition.  </w:t>
      </w:r>
      <w:r>
        <w:rPr>
          <w:rFonts w:eastAsia="Times New Roman" w:cs="Calibri" w:cstheme="minorHAnsi"/>
          <w:i/>
          <w:iCs/>
          <w:color w:val="000000" w:themeColor="text1"/>
          <w:sz w:val="22"/>
          <w:szCs w:val="22"/>
          <w:lang w:eastAsia="en-GB"/>
        </w:rPr>
        <w:t xml:space="preserve">Archives of Disease in Childhood.  </w:t>
      </w:r>
      <w:r>
        <w:rPr>
          <w:rFonts w:eastAsia="Times New Roman" w:cs="Calibri" w:cstheme="minorHAnsi"/>
          <w:color w:val="000000" w:themeColor="text1"/>
          <w:sz w:val="22"/>
          <w:szCs w:val="22"/>
          <w:lang w:eastAsia="en-GB"/>
        </w:rPr>
        <w:t xml:space="preserve">91(7).  pp.612-617.  </w:t>
      </w:r>
      <w:hyperlink r:id="rId4">
        <w:r>
          <w:rPr>
            <w:rStyle w:val="InternetLink"/>
            <w:rFonts w:eastAsia="Times New Roman" w:cs="Calibri" w:cstheme="minorHAnsi"/>
            <w:color w:val="000000" w:themeColor="text1"/>
            <w:sz w:val="22"/>
            <w:szCs w:val="22"/>
            <w:lang w:eastAsia="en-GB"/>
          </w:rPr>
          <w:t>https://www.ncbi.nlm.nih.gov/pmc/articles/PMC2082845/</w:t>
        </w:r>
      </w:hyperlink>
      <w:r>
        <w:rPr>
          <w:rFonts w:eastAsia="Times New Roman" w:cs="Calibri" w:cstheme="minorHAnsi"/>
          <w:color w:val="000000" w:themeColor="text1"/>
          <w:sz w:val="22"/>
          <w:szCs w:val="22"/>
          <w:lang w:eastAsia="en-GB"/>
        </w:rPr>
        <w:t xml:space="preserve"> </w:t>
      </w:r>
    </w:p>
    <w:p>
      <w:pPr>
        <w:pStyle w:val="ListParagraph"/>
        <w:bidi w:val="0"/>
        <w:jc w:val="left"/>
        <w:rPr>
          <w:rFonts w:eastAsia="Times New Roman" w:cs="Calibri" w:cstheme="minorHAnsi"/>
          <w:color w:val="000000" w:themeColor="text1"/>
          <w:sz w:val="22"/>
          <w:szCs w:val="22"/>
          <w:lang w:eastAsia="en-GB"/>
        </w:rPr>
      </w:pPr>
      <w:r>
        <w:rPr>
          <w:rFonts w:eastAsia="Times New Roman" w:cs="Calibri" w:cstheme="minorHAnsi"/>
          <w:color w:val="000000" w:themeColor="text1"/>
          <w:sz w:val="22"/>
          <w:szCs w:val="22"/>
          <w:lang w:eastAsia="en-GB"/>
        </w:rPr>
      </w:r>
    </w:p>
    <w:p>
      <w:pPr>
        <w:pStyle w:val="ListParagraph"/>
        <w:numPr>
          <w:ilvl w:val="0"/>
          <w:numId w:val="1"/>
        </w:numPr>
        <w:bidi w:val="0"/>
        <w:jc w:val="left"/>
        <w:textAlignment w:val="baseline"/>
        <w:rPr/>
      </w:pPr>
      <w:r>
        <w:rPr>
          <w:rFonts w:eastAsia="Times New Roman" w:cs="Calibri" w:cstheme="minorHAnsi"/>
          <w:color w:val="000000" w:themeColor="text1"/>
          <w:sz w:val="22"/>
          <w:szCs w:val="22"/>
          <w:lang w:eastAsia="en-GB"/>
        </w:rPr>
        <w:t xml:space="preserve">Harvard Medical School.  2019.  Abdominal Fat and What to do About it.  </w:t>
      </w:r>
      <w:r>
        <w:rPr>
          <w:rFonts w:eastAsia="Times New Roman" w:cs="Calibri" w:cstheme="minorHAnsi"/>
          <w:i/>
          <w:iCs/>
          <w:color w:val="000000" w:themeColor="text1"/>
          <w:sz w:val="22"/>
          <w:szCs w:val="22"/>
          <w:lang w:eastAsia="en-GB"/>
        </w:rPr>
        <w:t xml:space="preserve">health.harvard.edu.  </w:t>
      </w:r>
      <w:hyperlink r:id="rId5">
        <w:r>
          <w:rPr>
            <w:rStyle w:val="InternetLink"/>
            <w:rFonts w:eastAsia="Times New Roman" w:cs="Calibri" w:cstheme="minorHAnsi"/>
            <w:i/>
            <w:iCs/>
            <w:color w:val="000000" w:themeColor="text1"/>
            <w:sz w:val="22"/>
            <w:szCs w:val="22"/>
            <w:lang w:eastAsia="en-GB"/>
          </w:rPr>
          <w:t>https://www.health.harvard.edu/staying-healthy/abdominal-fat-and-what-to-do-about-it</w:t>
        </w:r>
      </w:hyperlink>
      <w:r>
        <w:rPr>
          <w:rFonts w:eastAsia="Times New Roman" w:cs="Calibri" w:cstheme="minorHAnsi"/>
          <w:i/>
          <w:iCs/>
          <w:color w:val="000000" w:themeColor="text1"/>
          <w:sz w:val="22"/>
          <w:szCs w:val="22"/>
          <w:lang w:eastAsia="en-GB"/>
        </w:rPr>
        <w:t xml:space="preserve"> </w:t>
      </w:r>
    </w:p>
    <w:p>
      <w:pPr>
        <w:pStyle w:val="ListParagraph"/>
        <w:bidi w:val="0"/>
        <w:jc w:val="left"/>
        <w:rPr>
          <w:rFonts w:eastAsia="Times New Roman" w:cs="Calibri" w:cstheme="minorHAnsi"/>
          <w:color w:val="000000" w:themeColor="text1"/>
          <w:sz w:val="22"/>
          <w:szCs w:val="22"/>
          <w:lang w:eastAsia="en-GB"/>
        </w:rPr>
      </w:pPr>
      <w:r>
        <w:rPr>
          <w:rFonts w:eastAsia="Times New Roman" w:cs="Calibri" w:cstheme="minorHAnsi"/>
          <w:color w:val="000000" w:themeColor="text1"/>
          <w:sz w:val="22"/>
          <w:szCs w:val="22"/>
          <w:lang w:eastAsia="en-GB"/>
        </w:rPr>
      </w:r>
    </w:p>
    <w:p>
      <w:pPr>
        <w:pStyle w:val="ListParagraph"/>
        <w:numPr>
          <w:ilvl w:val="0"/>
          <w:numId w:val="1"/>
        </w:numPr>
        <w:bidi w:val="0"/>
        <w:jc w:val="left"/>
        <w:textAlignment w:val="baseline"/>
        <w:rPr/>
      </w:pPr>
      <w:r>
        <w:rPr>
          <w:rFonts w:eastAsia="Times New Roman" w:cs="Calibri" w:cstheme="minorHAnsi"/>
          <w:color w:val="000000" w:themeColor="text1"/>
          <w:sz w:val="22"/>
          <w:szCs w:val="22"/>
          <w:lang w:eastAsia="en-GB"/>
        </w:rPr>
        <w:t xml:space="preserve">NHS.  2015.  Normal BMI with a Big Belly ‘Deadlier than Obesity’.  </w:t>
      </w:r>
      <w:r>
        <w:rPr>
          <w:rFonts w:eastAsia="Times New Roman" w:cs="Calibri" w:cstheme="minorHAnsi"/>
          <w:i/>
          <w:iCs/>
          <w:color w:val="000000" w:themeColor="text1"/>
          <w:sz w:val="22"/>
          <w:szCs w:val="22"/>
          <w:lang w:eastAsia="en-GB"/>
        </w:rPr>
        <w:t xml:space="preserve">nhs.uk.  </w:t>
      </w:r>
      <w:hyperlink r:id="rId6">
        <w:r>
          <w:rPr>
            <w:rStyle w:val="InternetLink"/>
            <w:rFonts w:eastAsia="Times New Roman" w:cs="Calibri" w:cstheme="minorHAnsi"/>
            <w:i/>
            <w:iCs/>
            <w:color w:val="000000" w:themeColor="text1"/>
            <w:sz w:val="22"/>
            <w:szCs w:val="22"/>
            <w:lang w:eastAsia="en-GB"/>
          </w:rPr>
          <w:t>https://www.nhs.uk/news/obesity/normal-bmi-with-a-big-belly-deadlier-than-obesity/</w:t>
        </w:r>
      </w:hyperlink>
      <w:r>
        <w:rPr>
          <w:rFonts w:eastAsia="Times New Roman" w:cs="Calibri" w:cstheme="minorHAnsi"/>
          <w:i/>
          <w:iCs/>
          <w:color w:val="000000" w:themeColor="text1"/>
          <w:sz w:val="22"/>
          <w:szCs w:val="22"/>
          <w:lang w:eastAsia="en-GB"/>
        </w:rPr>
        <w:t xml:space="preserve"> </w:t>
      </w:r>
    </w:p>
    <w:p>
      <w:pPr>
        <w:pStyle w:val="ListParagraph"/>
        <w:bidi w:val="0"/>
        <w:jc w:val="left"/>
        <w:rPr>
          <w:rFonts w:eastAsia="Times New Roman" w:cs="Calibri" w:cstheme="minorHAnsi"/>
          <w:color w:val="000000" w:themeColor="text1"/>
          <w:sz w:val="22"/>
          <w:szCs w:val="22"/>
          <w:lang w:eastAsia="en-GB"/>
        </w:rPr>
      </w:pPr>
      <w:r>
        <w:rPr>
          <w:rFonts w:eastAsia="Times New Roman" w:cs="Calibri" w:cstheme="minorHAnsi"/>
          <w:color w:val="000000" w:themeColor="text1"/>
          <w:sz w:val="22"/>
          <w:szCs w:val="22"/>
          <w:lang w:eastAsia="en-GB"/>
        </w:rPr>
      </w:r>
    </w:p>
    <w:p>
      <w:pPr>
        <w:pStyle w:val="ListParagraph"/>
        <w:numPr>
          <w:ilvl w:val="0"/>
          <w:numId w:val="1"/>
        </w:numPr>
        <w:bidi w:val="0"/>
        <w:jc w:val="left"/>
        <w:textAlignment w:val="baseline"/>
        <w:rPr/>
      </w:pPr>
      <w:r>
        <w:rPr>
          <w:rFonts w:eastAsia="Times New Roman" w:cs="Calibri" w:cstheme="minorHAnsi"/>
          <w:color w:val="000000" w:themeColor="text1"/>
          <w:sz w:val="22"/>
          <w:szCs w:val="22"/>
          <w:lang w:eastAsia="en-GB"/>
        </w:rPr>
        <w:t xml:space="preserve">Harvard T.H. Chan School of Public Health.  Measuring Obesity.  </w:t>
      </w:r>
      <w:r>
        <w:rPr>
          <w:rFonts w:eastAsia="Times New Roman" w:cs="Calibri" w:cstheme="minorHAnsi"/>
          <w:i/>
          <w:iCs/>
          <w:color w:val="000000" w:themeColor="text1"/>
          <w:sz w:val="22"/>
          <w:szCs w:val="22"/>
          <w:lang w:eastAsia="en-GB"/>
        </w:rPr>
        <w:t xml:space="preserve">hsph.harvard.edu.  </w:t>
      </w:r>
      <w:hyperlink r:id="rId7">
        <w:r>
          <w:rPr>
            <w:rStyle w:val="InternetLink"/>
            <w:rFonts w:eastAsia="Times New Roman" w:cs="Calibri" w:cstheme="minorHAnsi"/>
            <w:i/>
            <w:iCs/>
            <w:color w:val="000000" w:themeColor="text1"/>
            <w:sz w:val="22"/>
            <w:szCs w:val="22"/>
            <w:lang w:eastAsia="en-GB"/>
          </w:rPr>
          <w:t>https://www.hsph.harvard.edu/obesity-prevention-source/obesity-definition/how-to-measure-body-fatness/</w:t>
        </w:r>
      </w:hyperlink>
      <w:r>
        <w:rPr>
          <w:rFonts w:eastAsia="Times New Roman" w:cs="Calibri" w:cstheme="minorHAnsi"/>
          <w:i/>
          <w:iCs/>
          <w:color w:val="000000" w:themeColor="text1"/>
          <w:sz w:val="22"/>
          <w:szCs w:val="22"/>
          <w:lang w:eastAsia="en-GB"/>
        </w:rPr>
        <w:t xml:space="preserve"> </w:t>
      </w:r>
    </w:p>
    <w:p>
      <w:pPr>
        <w:pStyle w:val="ListParagraph"/>
        <w:bidi w:val="0"/>
        <w:jc w:val="left"/>
        <w:rPr>
          <w:rFonts w:eastAsia="Times New Roman" w:cs="Calibri" w:cstheme="minorHAnsi"/>
          <w:color w:val="000000" w:themeColor="text1"/>
          <w:sz w:val="22"/>
          <w:szCs w:val="22"/>
          <w:lang w:eastAsia="en-GB"/>
        </w:rPr>
      </w:pPr>
      <w:r>
        <w:rPr>
          <w:rFonts w:eastAsia="Times New Roman" w:cs="Calibri" w:cstheme="minorHAnsi"/>
          <w:color w:val="000000" w:themeColor="text1"/>
          <w:sz w:val="22"/>
          <w:szCs w:val="22"/>
          <w:lang w:eastAsia="en-GB"/>
        </w:rPr>
      </w:r>
    </w:p>
    <w:p>
      <w:pPr>
        <w:pStyle w:val="ListParagraph"/>
        <w:numPr>
          <w:ilvl w:val="0"/>
          <w:numId w:val="1"/>
        </w:numPr>
        <w:bidi w:val="0"/>
        <w:jc w:val="left"/>
        <w:textAlignment w:val="baseline"/>
        <w:rPr/>
      </w:pPr>
      <w:r>
        <w:rPr>
          <w:rFonts w:eastAsia="Times New Roman" w:cs="Calibri" w:cstheme="minorHAnsi"/>
          <w:color w:val="000000" w:themeColor="text1"/>
          <w:sz w:val="22"/>
          <w:szCs w:val="22"/>
          <w:lang w:eastAsia="en-GB"/>
        </w:rPr>
        <w:t xml:space="preserve">Van Dijk, S.B., Takken, T., Prinsen, E.C. &amp; Wittink, H.  2012.  Different Anthropometric Adiposity Measures and their Association with Cardiovascular Disease Risk Factors: A Meta-Analysis. </w:t>
      </w:r>
      <w:r>
        <w:rPr>
          <w:rFonts w:eastAsia="Times New Roman" w:cs="Calibri" w:cstheme="minorHAnsi"/>
          <w:i/>
          <w:iCs/>
          <w:color w:val="000000" w:themeColor="text1"/>
          <w:sz w:val="22"/>
          <w:szCs w:val="22"/>
          <w:lang w:eastAsia="en-GB"/>
        </w:rPr>
        <w:t xml:space="preserve">Netherlands Heart Journal.  </w:t>
      </w:r>
      <w:r>
        <w:rPr>
          <w:rFonts w:eastAsia="Times New Roman" w:cs="Calibri" w:cstheme="minorHAnsi"/>
          <w:color w:val="000000" w:themeColor="text1"/>
          <w:sz w:val="22"/>
          <w:szCs w:val="22"/>
          <w:lang w:eastAsia="en-GB"/>
        </w:rPr>
        <w:t xml:space="preserve">20(5).  pp.208-218.  </w:t>
      </w:r>
      <w:hyperlink r:id="rId8">
        <w:r>
          <w:rPr>
            <w:rStyle w:val="InternetLink"/>
            <w:rFonts w:eastAsia="Times New Roman" w:cs="Calibri" w:cstheme="minorHAnsi"/>
            <w:color w:val="000000" w:themeColor="text1"/>
            <w:sz w:val="22"/>
            <w:szCs w:val="22"/>
            <w:lang w:eastAsia="en-GB"/>
          </w:rPr>
          <w:t>https://www.ncbi.nlm.nih.gov/pubmed/22231153</w:t>
        </w:r>
      </w:hyperlink>
      <w:r>
        <w:rPr>
          <w:rFonts w:eastAsia="Times New Roman" w:cs="Calibri" w:cstheme="minorHAnsi"/>
          <w:color w:val="000000" w:themeColor="text1"/>
          <w:sz w:val="22"/>
          <w:szCs w:val="22"/>
          <w:lang w:eastAsia="en-GB"/>
        </w:rPr>
        <w:t xml:space="preserve"> </w:t>
      </w:r>
    </w:p>
    <w:p>
      <w:pPr>
        <w:pStyle w:val="ListParagraph"/>
        <w:numPr>
          <w:ilvl w:val="0"/>
          <w:numId w:val="0"/>
        </w:numPr>
        <w:bidi w:val="0"/>
        <w:ind w:left="1440" w:hanging="0"/>
        <w:jc w:val="left"/>
        <w:textAlignment w:val="baseline"/>
        <w:rPr>
          <w:rFonts w:eastAsia="Times New Roman" w:cs="Calibri" w:cstheme="minorHAnsi"/>
          <w:color w:val="000000" w:themeColor="text1"/>
          <w:sz w:val="22"/>
          <w:szCs w:val="22"/>
          <w:lang w:eastAsia="en-GB"/>
        </w:rPr>
      </w:pPr>
      <w:r>
        <w:rPr/>
      </w:r>
    </w:p>
    <w:p>
      <w:pPr>
        <w:pStyle w:val="ListParagraph"/>
        <w:numPr>
          <w:ilvl w:val="0"/>
          <w:numId w:val="1"/>
        </w:numPr>
        <w:bidi w:val="0"/>
        <w:jc w:val="left"/>
        <w:textAlignment w:val="baseline"/>
        <w:rPr/>
      </w:pPr>
      <w:r>
        <w:rPr>
          <w:rFonts w:eastAsia="Times New Roman" w:cs="Calibri" w:cstheme="minorHAnsi"/>
          <w:color w:val="000000" w:themeColor="text1"/>
          <w:sz w:val="22"/>
          <w:szCs w:val="22"/>
          <w:lang w:eastAsia="en-GB"/>
        </w:rPr>
        <w:t xml:space="preserve">Swainson, M.G., Batterham, A.M., Tsakirides, C., Rutherford, Z.H. &amp; Hind, K.  2017.  Prediction of Whole-Body Fat Percentage and Visceral Adipose Tissue Mass from Five Anthropometric Variables. </w:t>
      </w:r>
      <w:r>
        <w:rPr>
          <w:rFonts w:eastAsia="Times New Roman" w:cs="Calibri" w:cstheme="minorHAnsi"/>
          <w:i/>
          <w:iCs/>
          <w:color w:val="000000" w:themeColor="text1"/>
          <w:sz w:val="22"/>
          <w:szCs w:val="22"/>
          <w:lang w:eastAsia="en-GB"/>
        </w:rPr>
        <w:t xml:space="preserve">PLOSone.  </w:t>
      </w:r>
      <w:r>
        <w:rPr>
          <w:rFonts w:eastAsia="Times New Roman" w:cs="Calibri" w:cstheme="minorHAnsi"/>
          <w:color w:val="000000" w:themeColor="text1"/>
          <w:sz w:val="22"/>
          <w:szCs w:val="22"/>
          <w:lang w:eastAsia="en-GB"/>
        </w:rPr>
        <w:t xml:space="preserve">12(5).  </w:t>
      </w:r>
      <w:hyperlink r:id="rId9">
        <w:r>
          <w:rPr>
            <w:rStyle w:val="InternetLink"/>
            <w:rFonts w:eastAsia="Times New Roman" w:cs="Calibri" w:cstheme="minorHAnsi"/>
            <w:color w:val="000000" w:themeColor="text1"/>
            <w:sz w:val="22"/>
            <w:szCs w:val="22"/>
            <w:lang w:eastAsia="en-GB"/>
          </w:rPr>
          <w:t>https://www.ncbi.nlm.nih.gov/pubmed/28493988</w:t>
        </w:r>
      </w:hyperlink>
      <w:r>
        <w:rPr>
          <w:rFonts w:eastAsia="Times New Roman" w:cs="Calibri" w:cstheme="minorHAnsi"/>
          <w:color w:val="000000" w:themeColor="text1"/>
          <w:sz w:val="22"/>
          <w:szCs w:val="22"/>
          <w:lang w:eastAsia="en-GB"/>
        </w:rPr>
        <w:t xml:space="preserve"> </w:t>
      </w:r>
    </w:p>
    <w:p>
      <w:pPr>
        <w:pStyle w:val="ListParagraph"/>
        <w:bidi w:val="0"/>
        <w:jc w:val="left"/>
        <w:textAlignment w:val="baseline"/>
        <w:rPr>
          <w:rFonts w:eastAsia="Times New Roman" w:cs="Calibri" w:cstheme="minorHAnsi"/>
          <w:color w:val="000000" w:themeColor="text1"/>
          <w:sz w:val="22"/>
          <w:szCs w:val="22"/>
          <w:lang w:eastAsia="en-GB"/>
        </w:rPr>
      </w:pPr>
      <w:r>
        <w:rPr/>
      </w:r>
    </w:p>
    <w:p>
      <w:pPr>
        <w:pStyle w:val="ListParagraph"/>
        <w:bidi w:val="0"/>
        <w:jc w:val="left"/>
        <w:textAlignment w:val="baseline"/>
        <w:rPr>
          <w:rFonts w:eastAsia="Times New Roman" w:cs="Calibri" w:cstheme="minorHAnsi"/>
          <w:color w:val="000000" w:themeColor="text1"/>
          <w:sz w:val="22"/>
          <w:szCs w:val="22"/>
          <w:lang w:eastAsia="en-GB"/>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AU"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Arial"/>
      <w:color w:val="auto"/>
      <w:kern w:val="2"/>
      <w:sz w:val="24"/>
      <w:szCs w:val="24"/>
      <w:lang w:val="en-AU" w:eastAsia="zh-CN" w:bidi="hi-IN"/>
    </w:rPr>
  </w:style>
  <w:style w:type="character" w:styleId="DefaultParagraphFont">
    <w:name w:val="Default Paragraph Font"/>
    <w:qFormat/>
    <w:rPr/>
  </w:style>
  <w:style w:type="character" w:styleId="InternetLink">
    <w:name w:val="Internet Link"/>
    <w:basedOn w:val="DefaultParagraphFont"/>
    <w:rPr>
      <w:color w:val="0563C1" w:themeColor="hyperlink"/>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qFormat/>
    <w:pPr>
      <w:spacing w:before="0" w:after="0"/>
      <w:ind w:left="720" w:firstLine="72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about:blank" TargetMode="External"/><Relationship Id="rId3" Type="http://schemas.openxmlformats.org/officeDocument/2006/relationships/hyperlink" Target="about:blank" TargetMode="External"/><Relationship Id="rId4" Type="http://schemas.openxmlformats.org/officeDocument/2006/relationships/hyperlink" Target="about:blank" TargetMode="External"/><Relationship Id="rId5" Type="http://schemas.openxmlformats.org/officeDocument/2006/relationships/hyperlink" Target="about:blank" TargetMode="External"/><Relationship Id="rId6" Type="http://schemas.openxmlformats.org/officeDocument/2006/relationships/hyperlink" Target="about:blank" TargetMode="External"/><Relationship Id="rId7" Type="http://schemas.openxmlformats.org/officeDocument/2006/relationships/hyperlink" Target="about:blank" TargetMode="External"/><Relationship Id="rId8" Type="http://schemas.openxmlformats.org/officeDocument/2006/relationships/hyperlink" Target="about:blank" TargetMode="External"/><Relationship Id="rId9" Type="http://schemas.openxmlformats.org/officeDocument/2006/relationships/hyperlink" Target="about:blank"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LibreOffice/6.3.3.2$Windows_X86_64 LibreOffice_project/a64200df03143b798afd1ec74a12ab50359878ed</Application>
  <Pages>3</Pages>
  <Words>898</Words>
  <Characters>5811</Characters>
  <CharactersWithSpaces>6661</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2020-05-10T11:12:18Z</dcterms:created>
  <dc:creator>Richard Heller</dc:creator>
  <dc:description/>
  <dc:language>en-AU</dc:language>
  <cp:lastModifiedBy>Richard Heller</cp:lastModifiedBy>
  <dcterms:modified xsi:type="dcterms:W3CDTF">2020-05-10T11:21:04Z</dcterms:modified>
  <cp:revision>3</cp:revision>
  <dc:subject/>
  <dc:title/>
</cp:coreProperties>
</file>